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92" w:rsidRPr="00194492" w:rsidRDefault="00194492" w:rsidP="00194492">
      <w:pPr>
        <w:keepNext/>
        <w:outlineLvl w:val="3"/>
        <w:rPr>
          <w:rFonts w:ascii="Calibri" w:hAnsi="Calibri"/>
          <w:b/>
          <w:bCs/>
          <w:sz w:val="22"/>
          <w:szCs w:val="28"/>
          <w:u w:val="single"/>
          <w:lang w:eastAsia="x-none"/>
        </w:rPr>
      </w:pPr>
      <w:bookmarkStart w:id="0" w:name="_Toc413159851"/>
      <w:bookmarkStart w:id="1" w:name="_Toc418518032"/>
      <w:bookmarkStart w:id="2" w:name="_Toc288210003"/>
      <w:r w:rsidRPr="00194492">
        <w:rPr>
          <w:rFonts w:ascii="Calibri" w:hAnsi="Calibri"/>
          <w:b/>
          <w:bCs/>
          <w:sz w:val="22"/>
          <w:szCs w:val="28"/>
          <w:u w:val="single"/>
          <w:lang w:val="x-none" w:eastAsia="x-none"/>
        </w:rPr>
        <w:t>SP-</w:t>
      </w:r>
      <w:r w:rsidRPr="00194492">
        <w:rPr>
          <w:rFonts w:ascii="Calibri" w:hAnsi="Calibri"/>
          <w:b/>
          <w:bCs/>
          <w:sz w:val="22"/>
          <w:szCs w:val="28"/>
          <w:u w:val="single"/>
          <w:lang w:eastAsia="x-none"/>
        </w:rPr>
        <w:t xml:space="preserve">XX   </w:t>
      </w:r>
      <w:bookmarkEnd w:id="0"/>
      <w:bookmarkEnd w:id="1"/>
      <w:r w:rsidR="00E51865" w:rsidRPr="00E51865">
        <w:rPr>
          <w:rFonts w:ascii="Calibri" w:hAnsi="Calibri"/>
          <w:b/>
          <w:bCs/>
          <w:sz w:val="22"/>
          <w:szCs w:val="28"/>
          <w:u w:val="single"/>
          <w:lang w:eastAsia="x-none"/>
        </w:rPr>
        <w:t>EXCAVATE, STOCKPILE,  TRANSPORT AND DISPOSE OF NON-HAZARDOUS CONTAMINATED SOILS</w:t>
      </w:r>
      <w:r w:rsidR="00E51865">
        <w:rPr>
          <w:rFonts w:ascii="Calibri" w:hAnsi="Calibri"/>
          <w:b/>
          <w:bCs/>
          <w:sz w:val="22"/>
          <w:szCs w:val="28"/>
          <w:u w:val="single"/>
          <w:lang w:eastAsia="x-none"/>
        </w:rPr>
        <w:t xml:space="preserve"> </w:t>
      </w:r>
      <w:r w:rsidRPr="00194492">
        <w:rPr>
          <w:rFonts w:ascii="Calibri" w:hAnsi="Calibri"/>
          <w:b/>
          <w:bCs/>
          <w:sz w:val="22"/>
          <w:szCs w:val="28"/>
          <w:u w:val="single"/>
          <w:lang w:val="x-none" w:eastAsia="x-none"/>
        </w:rPr>
        <w:fldChar w:fldCharType="begin"/>
      </w:r>
      <w:r w:rsidRPr="00194492">
        <w:rPr>
          <w:rFonts w:ascii="Calibri" w:hAnsi="Calibri"/>
          <w:b/>
          <w:bCs/>
          <w:sz w:val="22"/>
          <w:szCs w:val="28"/>
          <w:u w:val="single"/>
          <w:lang w:val="x-none" w:eastAsia="x-none"/>
        </w:rPr>
        <w:instrText>tc \l2 "SP-32, CONTROLLED LOW STRENGTH FILL MATERIAL</w:instrText>
      </w:r>
      <w:r w:rsidRPr="00194492">
        <w:rPr>
          <w:rFonts w:ascii="Calibri" w:hAnsi="Calibri"/>
          <w:b/>
          <w:bCs/>
          <w:sz w:val="22"/>
          <w:szCs w:val="28"/>
          <w:u w:val="single"/>
          <w:lang w:val="x-none" w:eastAsia="x-none"/>
        </w:rPr>
        <w:fldChar w:fldCharType="end"/>
      </w:r>
    </w:p>
    <w:p w:rsidR="00194492" w:rsidRPr="00194492" w:rsidRDefault="00194492" w:rsidP="00194492">
      <w:pPr>
        <w:tabs>
          <w:tab w:val="right" w:pos="9360"/>
        </w:tabs>
        <w:rPr>
          <w:rFonts w:ascii="Calibri" w:hAnsi="Calibri"/>
          <w:sz w:val="20"/>
          <w:szCs w:val="20"/>
        </w:rPr>
      </w:pPr>
      <w:r w:rsidRPr="00194492">
        <w:rPr>
          <w:rFonts w:ascii="Calibri" w:hAnsi="Calibri"/>
          <w:sz w:val="20"/>
          <w:szCs w:val="20"/>
        </w:rPr>
        <w:t xml:space="preserve">Version Date: </w:t>
      </w:r>
      <w:r w:rsidR="0071231B">
        <w:rPr>
          <w:rFonts w:ascii="Calibri" w:hAnsi="Calibri"/>
          <w:sz w:val="20"/>
          <w:szCs w:val="20"/>
        </w:rPr>
        <w:t>02</w:t>
      </w:r>
      <w:r w:rsidR="00E22440">
        <w:rPr>
          <w:rFonts w:ascii="Calibri" w:hAnsi="Calibri"/>
          <w:sz w:val="20"/>
          <w:szCs w:val="20"/>
        </w:rPr>
        <w:t>/</w:t>
      </w:r>
      <w:r w:rsidR="0071231B">
        <w:rPr>
          <w:rFonts w:ascii="Calibri" w:hAnsi="Calibri"/>
          <w:sz w:val="20"/>
          <w:szCs w:val="20"/>
        </w:rPr>
        <w:t>03</w:t>
      </w:r>
      <w:r>
        <w:rPr>
          <w:rFonts w:ascii="Calibri" w:hAnsi="Calibri"/>
          <w:sz w:val="20"/>
          <w:szCs w:val="20"/>
        </w:rPr>
        <w:t>/201</w:t>
      </w:r>
      <w:r w:rsidR="0071231B">
        <w:rPr>
          <w:rFonts w:ascii="Calibri" w:hAnsi="Calibri"/>
          <w:sz w:val="20"/>
          <w:szCs w:val="20"/>
        </w:rPr>
        <w:t>7</w:t>
      </w:r>
      <w:bookmarkStart w:id="3" w:name="_GoBack"/>
      <w:bookmarkEnd w:id="3"/>
      <w:r w:rsidRPr="00194492">
        <w:rPr>
          <w:rFonts w:ascii="Calibri" w:hAnsi="Calibri"/>
          <w:sz w:val="20"/>
          <w:szCs w:val="20"/>
        </w:rPr>
        <w:tab/>
      </w:r>
      <w:commentRangeStart w:id="4"/>
      <w:r w:rsidRPr="00194492">
        <w:rPr>
          <w:rFonts w:ascii="Calibri" w:hAnsi="Calibri"/>
          <w:sz w:val="20"/>
          <w:szCs w:val="20"/>
        </w:rPr>
        <w:t>Revision Date</w:t>
      </w:r>
      <w:commentRangeEnd w:id="4"/>
      <w:r w:rsidRPr="00194492">
        <w:rPr>
          <w:rFonts w:ascii="Calibri" w:hAnsi="Calibri"/>
          <w:sz w:val="16"/>
          <w:szCs w:val="16"/>
        </w:rPr>
        <w:commentReference w:id="4"/>
      </w:r>
      <w:r w:rsidRPr="00194492">
        <w:rPr>
          <w:rFonts w:ascii="Calibri" w:hAnsi="Calibri"/>
          <w:sz w:val="20"/>
          <w:szCs w:val="20"/>
        </w:rPr>
        <w:t>:  XX/XX/XXXX by XXX</w:t>
      </w:r>
    </w:p>
    <w:p w:rsidR="00194492" w:rsidRPr="00194492" w:rsidRDefault="00194492" w:rsidP="00194492">
      <w:pPr>
        <w:rPr>
          <w:sz w:val="20"/>
          <w:szCs w:val="20"/>
        </w:rPr>
      </w:pPr>
    </w:p>
    <w:p w:rsidR="00E51865" w:rsidRPr="00E51865" w:rsidRDefault="00E51865" w:rsidP="00E51865">
      <w:pPr>
        <w:widowControl w:val="0"/>
        <w:jc w:val="both"/>
        <w:rPr>
          <w:rFonts w:ascii="Calibri" w:hAnsi="Calibri" w:cs="Calibri"/>
          <w:sz w:val="20"/>
          <w:szCs w:val="20"/>
        </w:rPr>
      </w:pPr>
      <w:r w:rsidRPr="00E51865">
        <w:rPr>
          <w:rFonts w:ascii="Calibri" w:hAnsi="Calibri" w:cs="Calibri"/>
          <w:sz w:val="20"/>
          <w:szCs w:val="20"/>
        </w:rPr>
        <w:t>During grading operations, the Contractor shall be observant for changes in soil that distinguish the area from the surrounding material and other indicators of environmental concern. Indicators of environmental concern include a change in color, change in odor, or observance of filled or disposed materials.  If the Contractor encounters soil which is suspected to be contaminated, the Contractor shall immediately notify the City’s inspector. The City will provide an environmental representative to test and verify soil contamination, profile soils for acceptance by the disposal facility, and to observe excavation of the materials.  The City may direct the Contractor to stockpile or containerize the materials while awaiting laboratory characterization and acceptance of the waste profile by the disposal facility.  The City will perform any soil sampling and analysis required by the disposal facility.</w:t>
      </w:r>
    </w:p>
    <w:p w:rsidR="00E51865" w:rsidRPr="00E51865" w:rsidRDefault="00E51865" w:rsidP="00E51865">
      <w:pPr>
        <w:widowControl w:val="0"/>
        <w:jc w:val="both"/>
        <w:rPr>
          <w:rFonts w:ascii="Calibri" w:hAnsi="Calibri" w:cs="Calibri"/>
          <w:sz w:val="20"/>
          <w:szCs w:val="20"/>
        </w:rPr>
      </w:pPr>
    </w:p>
    <w:p w:rsidR="00E51865" w:rsidRPr="00E51865" w:rsidRDefault="00E51865" w:rsidP="00E51865">
      <w:pPr>
        <w:widowControl w:val="0"/>
        <w:jc w:val="both"/>
        <w:rPr>
          <w:rFonts w:ascii="Calibri" w:hAnsi="Calibri" w:cs="Calibri"/>
          <w:sz w:val="20"/>
          <w:szCs w:val="20"/>
        </w:rPr>
      </w:pPr>
      <w:r w:rsidRPr="00E51865">
        <w:rPr>
          <w:rFonts w:ascii="Calibri" w:hAnsi="Calibri" w:cs="Calibri"/>
          <w:sz w:val="20"/>
          <w:szCs w:val="20"/>
        </w:rPr>
        <w:t>If the Contractor encounters an underground storage tank (UST) at the site, he shall immediately notify the parties stated above.  UST’s will be removed by the City’s environmental representative under a separate contract.  Contractor shall provide backfill and compaction as Work of this Special Provision.</w:t>
      </w:r>
    </w:p>
    <w:p w:rsidR="00E51865" w:rsidRPr="00E51865" w:rsidRDefault="00E51865" w:rsidP="00E51865">
      <w:pPr>
        <w:widowControl w:val="0"/>
        <w:jc w:val="both"/>
        <w:rPr>
          <w:rFonts w:ascii="Calibri" w:hAnsi="Calibri" w:cs="Calibri"/>
          <w:sz w:val="20"/>
          <w:szCs w:val="20"/>
        </w:rPr>
      </w:pPr>
    </w:p>
    <w:p w:rsidR="00E51865" w:rsidRPr="00E51865" w:rsidRDefault="00E51865" w:rsidP="00E51865">
      <w:pPr>
        <w:widowControl w:val="0"/>
        <w:jc w:val="both"/>
        <w:rPr>
          <w:rFonts w:ascii="Calibri" w:hAnsi="Calibri" w:cs="Calibri"/>
          <w:sz w:val="20"/>
          <w:szCs w:val="20"/>
        </w:rPr>
      </w:pPr>
      <w:r w:rsidRPr="00E51865">
        <w:rPr>
          <w:rFonts w:ascii="Calibri" w:hAnsi="Calibri" w:cs="Calibri"/>
          <w:sz w:val="20"/>
          <w:szCs w:val="20"/>
        </w:rPr>
        <w:t>While contaminated soils may be encountered anywhere, the Contractor should be especially observant at the following properties:</w:t>
      </w:r>
    </w:p>
    <w:p w:rsidR="00E51865" w:rsidRPr="00E51865" w:rsidRDefault="00E51865" w:rsidP="00E51865">
      <w:pPr>
        <w:widowControl w:val="0"/>
        <w:jc w:val="both"/>
        <w:rPr>
          <w:rFonts w:ascii="Calibri" w:hAnsi="Calibri" w:cs="Calibri"/>
          <w:sz w:val="20"/>
          <w:szCs w:val="20"/>
        </w:rPr>
      </w:pPr>
    </w:p>
    <w:p w:rsidR="00E51865" w:rsidRPr="00E51865" w:rsidRDefault="00E51865" w:rsidP="00E51865">
      <w:pPr>
        <w:widowControl w:val="0"/>
        <w:jc w:val="center"/>
        <w:rPr>
          <w:rFonts w:ascii="Calibri" w:hAnsi="Calibri" w:cs="Calibri"/>
          <w:sz w:val="20"/>
          <w:szCs w:val="20"/>
        </w:rPr>
      </w:pPr>
      <w:r w:rsidRPr="00E51865">
        <w:rPr>
          <w:rFonts w:ascii="Calibri" w:hAnsi="Calibri" w:cs="Calibri"/>
          <w:sz w:val="20"/>
          <w:szCs w:val="20"/>
        </w:rPr>
        <w:t>Tab</w:t>
      </w:r>
      <w:r>
        <w:rPr>
          <w:rFonts w:ascii="Calibri" w:hAnsi="Calibri" w:cs="Calibri"/>
          <w:sz w:val="20"/>
          <w:szCs w:val="20"/>
        </w:rPr>
        <w:t>le</w:t>
      </w:r>
      <w:r w:rsidRPr="00E51865">
        <w:rPr>
          <w:rFonts w:ascii="Calibri" w:hAnsi="Calibri" w:cs="Calibri"/>
          <w:sz w:val="20"/>
          <w:szCs w:val="20"/>
        </w:rPr>
        <w:t xml:space="preserve"> 1.1</w:t>
      </w:r>
    </w:p>
    <w:p w:rsidR="00E51865" w:rsidRPr="00E51865" w:rsidRDefault="00E51865" w:rsidP="00E51865">
      <w:pPr>
        <w:widowControl w:val="0"/>
        <w:jc w:val="center"/>
        <w:rPr>
          <w:rFonts w:ascii="Calibri" w:hAnsi="Calibri" w:cs="Calibri"/>
          <w:sz w:val="20"/>
          <w:szCs w:val="20"/>
        </w:rPr>
      </w:pPr>
      <w:r w:rsidRPr="00E51865">
        <w:rPr>
          <w:rFonts w:ascii="Calibri" w:hAnsi="Calibri" w:cs="Calibri"/>
          <w:sz w:val="20"/>
          <w:szCs w:val="20"/>
        </w:rPr>
        <w:t>Known or Suspected Contaminated Sites</w:t>
      </w:r>
    </w:p>
    <w:tbl>
      <w:tblPr>
        <w:tblStyle w:val="TableGrid"/>
        <w:tblW w:w="0" w:type="auto"/>
        <w:tblLook w:val="04A0" w:firstRow="1" w:lastRow="0" w:firstColumn="1" w:lastColumn="0" w:noHBand="0" w:noVBand="1"/>
      </w:tblPr>
      <w:tblGrid>
        <w:gridCol w:w="1188"/>
        <w:gridCol w:w="1620"/>
        <w:gridCol w:w="1620"/>
        <w:gridCol w:w="4428"/>
      </w:tblGrid>
      <w:tr w:rsidR="00E51865" w:rsidRPr="00E51865" w:rsidTr="00D17BFA">
        <w:tc>
          <w:tcPr>
            <w:tcW w:w="1188" w:type="dxa"/>
            <w:shd w:val="clear" w:color="auto" w:fill="BFBFBF" w:themeFill="background1" w:themeFillShade="BF"/>
          </w:tcPr>
          <w:p w:rsidR="00E51865" w:rsidRPr="00E51865" w:rsidRDefault="00E51865" w:rsidP="00E51865">
            <w:pPr>
              <w:widowControl w:val="0"/>
              <w:jc w:val="center"/>
              <w:rPr>
                <w:rFonts w:ascii="Tahoma" w:hAnsi="Tahoma" w:cs="Tahoma"/>
                <w:b/>
                <w:snapToGrid w:val="0"/>
                <w:sz w:val="20"/>
                <w:szCs w:val="20"/>
              </w:rPr>
            </w:pPr>
            <w:r w:rsidRPr="00E51865">
              <w:rPr>
                <w:rFonts w:ascii="Tahoma" w:hAnsi="Tahoma" w:cs="Tahoma"/>
                <w:b/>
                <w:snapToGrid w:val="0"/>
                <w:sz w:val="20"/>
                <w:szCs w:val="20"/>
              </w:rPr>
              <w:t>Parcel No.</w:t>
            </w:r>
          </w:p>
        </w:tc>
        <w:tc>
          <w:tcPr>
            <w:tcW w:w="1620" w:type="dxa"/>
            <w:shd w:val="clear" w:color="auto" w:fill="BFBFBF" w:themeFill="background1" w:themeFillShade="BF"/>
          </w:tcPr>
          <w:p w:rsidR="00E51865" w:rsidRPr="00E51865" w:rsidRDefault="00E51865" w:rsidP="00E51865">
            <w:pPr>
              <w:widowControl w:val="0"/>
              <w:jc w:val="center"/>
              <w:rPr>
                <w:rFonts w:ascii="Tahoma" w:hAnsi="Tahoma" w:cs="Tahoma"/>
                <w:b/>
                <w:snapToGrid w:val="0"/>
                <w:sz w:val="20"/>
                <w:szCs w:val="20"/>
              </w:rPr>
            </w:pPr>
            <w:r w:rsidRPr="00E51865">
              <w:rPr>
                <w:rFonts w:ascii="Tahoma" w:hAnsi="Tahoma" w:cs="Tahoma"/>
                <w:b/>
                <w:snapToGrid w:val="0"/>
                <w:sz w:val="20"/>
                <w:szCs w:val="20"/>
              </w:rPr>
              <w:t>Property Name</w:t>
            </w:r>
          </w:p>
        </w:tc>
        <w:tc>
          <w:tcPr>
            <w:tcW w:w="1620" w:type="dxa"/>
            <w:shd w:val="clear" w:color="auto" w:fill="BFBFBF" w:themeFill="background1" w:themeFillShade="BF"/>
          </w:tcPr>
          <w:p w:rsidR="00E51865" w:rsidRPr="00E51865" w:rsidRDefault="00E51865" w:rsidP="00E51865">
            <w:pPr>
              <w:widowControl w:val="0"/>
              <w:jc w:val="center"/>
              <w:rPr>
                <w:rFonts w:ascii="Tahoma" w:hAnsi="Tahoma" w:cs="Tahoma"/>
                <w:b/>
                <w:snapToGrid w:val="0"/>
                <w:sz w:val="20"/>
                <w:szCs w:val="20"/>
              </w:rPr>
            </w:pPr>
            <w:r w:rsidRPr="00E51865">
              <w:rPr>
                <w:rFonts w:ascii="Tahoma" w:hAnsi="Tahoma" w:cs="Tahoma"/>
                <w:b/>
                <w:snapToGrid w:val="0"/>
                <w:sz w:val="20"/>
                <w:szCs w:val="20"/>
              </w:rPr>
              <w:t>Property Address</w:t>
            </w:r>
          </w:p>
        </w:tc>
        <w:tc>
          <w:tcPr>
            <w:tcW w:w="4428" w:type="dxa"/>
            <w:shd w:val="clear" w:color="auto" w:fill="BFBFBF" w:themeFill="background1" w:themeFillShade="BF"/>
          </w:tcPr>
          <w:p w:rsidR="00E51865" w:rsidRPr="00E51865" w:rsidRDefault="00E51865" w:rsidP="00E51865">
            <w:pPr>
              <w:widowControl w:val="0"/>
              <w:jc w:val="center"/>
              <w:rPr>
                <w:rFonts w:ascii="Tahoma" w:hAnsi="Tahoma" w:cs="Tahoma"/>
                <w:b/>
                <w:snapToGrid w:val="0"/>
                <w:sz w:val="20"/>
                <w:szCs w:val="20"/>
              </w:rPr>
            </w:pPr>
            <w:r w:rsidRPr="00E51865">
              <w:rPr>
                <w:rFonts w:ascii="Tahoma" w:hAnsi="Tahoma" w:cs="Tahoma"/>
                <w:b/>
                <w:snapToGrid w:val="0"/>
                <w:sz w:val="20"/>
                <w:szCs w:val="20"/>
              </w:rPr>
              <w:t>Comments</w:t>
            </w:r>
          </w:p>
        </w:tc>
      </w:tr>
      <w:tr w:rsidR="00E51865" w:rsidRPr="00E51865" w:rsidTr="00D17BFA">
        <w:tc>
          <w:tcPr>
            <w:tcW w:w="1188" w:type="dxa"/>
          </w:tcPr>
          <w:p w:rsidR="00E51865" w:rsidRPr="00E51865" w:rsidRDefault="00E51865" w:rsidP="00E51865">
            <w:pPr>
              <w:widowControl w:val="0"/>
              <w:jc w:val="both"/>
              <w:rPr>
                <w:rFonts w:ascii="Tahoma" w:hAnsi="Tahoma" w:cs="Tahoma"/>
                <w:snapToGrid w:val="0"/>
                <w:sz w:val="20"/>
                <w:szCs w:val="20"/>
              </w:rPr>
            </w:pPr>
          </w:p>
        </w:tc>
        <w:tc>
          <w:tcPr>
            <w:tcW w:w="1620" w:type="dxa"/>
          </w:tcPr>
          <w:p w:rsidR="00E51865" w:rsidRPr="00E51865" w:rsidRDefault="00E51865" w:rsidP="00E51865">
            <w:pPr>
              <w:widowControl w:val="0"/>
              <w:jc w:val="both"/>
              <w:rPr>
                <w:rFonts w:ascii="Tahoma" w:hAnsi="Tahoma" w:cs="Tahoma"/>
                <w:snapToGrid w:val="0"/>
                <w:sz w:val="20"/>
                <w:szCs w:val="20"/>
              </w:rPr>
            </w:pPr>
          </w:p>
        </w:tc>
        <w:tc>
          <w:tcPr>
            <w:tcW w:w="1620" w:type="dxa"/>
          </w:tcPr>
          <w:p w:rsidR="00E51865" w:rsidRPr="00E51865" w:rsidRDefault="00E51865" w:rsidP="00E51865">
            <w:pPr>
              <w:widowControl w:val="0"/>
              <w:jc w:val="both"/>
              <w:rPr>
                <w:rFonts w:ascii="Tahoma" w:hAnsi="Tahoma" w:cs="Tahoma"/>
                <w:snapToGrid w:val="0"/>
                <w:sz w:val="20"/>
                <w:szCs w:val="20"/>
              </w:rPr>
            </w:pPr>
          </w:p>
        </w:tc>
        <w:tc>
          <w:tcPr>
            <w:tcW w:w="4428" w:type="dxa"/>
          </w:tcPr>
          <w:p w:rsidR="00E51865" w:rsidRPr="00E51865" w:rsidRDefault="00E51865" w:rsidP="00E51865">
            <w:pPr>
              <w:widowControl w:val="0"/>
              <w:jc w:val="both"/>
              <w:rPr>
                <w:rFonts w:ascii="Tahoma" w:hAnsi="Tahoma" w:cs="Tahoma"/>
                <w:snapToGrid w:val="0"/>
                <w:sz w:val="20"/>
                <w:szCs w:val="20"/>
              </w:rPr>
            </w:pPr>
          </w:p>
        </w:tc>
      </w:tr>
      <w:tr w:rsidR="00E51865" w:rsidRPr="00E51865" w:rsidTr="00D17BFA">
        <w:tc>
          <w:tcPr>
            <w:tcW w:w="1188" w:type="dxa"/>
          </w:tcPr>
          <w:p w:rsidR="00E51865" w:rsidRPr="00E51865" w:rsidRDefault="00E51865" w:rsidP="00E51865">
            <w:pPr>
              <w:widowControl w:val="0"/>
              <w:jc w:val="both"/>
              <w:rPr>
                <w:rFonts w:ascii="Tahoma" w:hAnsi="Tahoma" w:cs="Tahoma"/>
                <w:snapToGrid w:val="0"/>
                <w:sz w:val="20"/>
                <w:szCs w:val="20"/>
              </w:rPr>
            </w:pPr>
          </w:p>
        </w:tc>
        <w:tc>
          <w:tcPr>
            <w:tcW w:w="1620" w:type="dxa"/>
          </w:tcPr>
          <w:p w:rsidR="00E51865" w:rsidRPr="00E51865" w:rsidRDefault="00E51865" w:rsidP="00E51865">
            <w:pPr>
              <w:widowControl w:val="0"/>
              <w:jc w:val="both"/>
              <w:rPr>
                <w:rFonts w:ascii="Tahoma" w:hAnsi="Tahoma" w:cs="Tahoma"/>
                <w:snapToGrid w:val="0"/>
                <w:sz w:val="20"/>
                <w:szCs w:val="20"/>
              </w:rPr>
            </w:pPr>
          </w:p>
        </w:tc>
        <w:tc>
          <w:tcPr>
            <w:tcW w:w="1620" w:type="dxa"/>
          </w:tcPr>
          <w:p w:rsidR="00E51865" w:rsidRPr="00E51865" w:rsidRDefault="00E51865" w:rsidP="00E51865">
            <w:pPr>
              <w:widowControl w:val="0"/>
              <w:jc w:val="both"/>
              <w:rPr>
                <w:rFonts w:ascii="Tahoma" w:hAnsi="Tahoma" w:cs="Tahoma"/>
                <w:snapToGrid w:val="0"/>
                <w:sz w:val="20"/>
                <w:szCs w:val="20"/>
              </w:rPr>
            </w:pPr>
          </w:p>
        </w:tc>
        <w:tc>
          <w:tcPr>
            <w:tcW w:w="4428" w:type="dxa"/>
          </w:tcPr>
          <w:p w:rsidR="00E51865" w:rsidRPr="00E51865" w:rsidRDefault="00E51865" w:rsidP="00E51865">
            <w:pPr>
              <w:widowControl w:val="0"/>
              <w:jc w:val="both"/>
              <w:rPr>
                <w:rFonts w:ascii="Tahoma" w:hAnsi="Tahoma" w:cs="Tahoma"/>
                <w:snapToGrid w:val="0"/>
                <w:sz w:val="20"/>
                <w:szCs w:val="20"/>
              </w:rPr>
            </w:pPr>
          </w:p>
        </w:tc>
      </w:tr>
      <w:tr w:rsidR="00E51865" w:rsidRPr="00E51865" w:rsidTr="00D17BFA">
        <w:tc>
          <w:tcPr>
            <w:tcW w:w="1188" w:type="dxa"/>
          </w:tcPr>
          <w:p w:rsidR="00E51865" w:rsidRPr="00E51865" w:rsidRDefault="00E51865" w:rsidP="00E51865">
            <w:pPr>
              <w:widowControl w:val="0"/>
              <w:jc w:val="both"/>
              <w:rPr>
                <w:rFonts w:ascii="Tahoma" w:hAnsi="Tahoma" w:cs="Tahoma"/>
                <w:snapToGrid w:val="0"/>
                <w:sz w:val="20"/>
                <w:szCs w:val="20"/>
              </w:rPr>
            </w:pPr>
          </w:p>
        </w:tc>
        <w:tc>
          <w:tcPr>
            <w:tcW w:w="1620" w:type="dxa"/>
          </w:tcPr>
          <w:p w:rsidR="00E51865" w:rsidRPr="00E51865" w:rsidRDefault="00E51865" w:rsidP="00E51865">
            <w:pPr>
              <w:widowControl w:val="0"/>
              <w:jc w:val="both"/>
              <w:rPr>
                <w:rFonts w:ascii="Tahoma" w:hAnsi="Tahoma" w:cs="Tahoma"/>
                <w:snapToGrid w:val="0"/>
                <w:sz w:val="20"/>
                <w:szCs w:val="20"/>
              </w:rPr>
            </w:pPr>
          </w:p>
        </w:tc>
        <w:tc>
          <w:tcPr>
            <w:tcW w:w="1620" w:type="dxa"/>
          </w:tcPr>
          <w:p w:rsidR="00E51865" w:rsidRPr="00E51865" w:rsidRDefault="00E51865" w:rsidP="00E51865">
            <w:pPr>
              <w:widowControl w:val="0"/>
              <w:jc w:val="both"/>
              <w:rPr>
                <w:rFonts w:ascii="Tahoma" w:hAnsi="Tahoma" w:cs="Tahoma"/>
                <w:snapToGrid w:val="0"/>
                <w:sz w:val="20"/>
                <w:szCs w:val="20"/>
              </w:rPr>
            </w:pPr>
          </w:p>
        </w:tc>
        <w:tc>
          <w:tcPr>
            <w:tcW w:w="4428" w:type="dxa"/>
          </w:tcPr>
          <w:p w:rsidR="00E51865" w:rsidRPr="00E51865" w:rsidRDefault="00E51865" w:rsidP="00E51865">
            <w:pPr>
              <w:widowControl w:val="0"/>
              <w:jc w:val="both"/>
              <w:rPr>
                <w:rFonts w:ascii="Tahoma" w:hAnsi="Tahoma" w:cs="Tahoma"/>
                <w:snapToGrid w:val="0"/>
                <w:sz w:val="20"/>
                <w:szCs w:val="20"/>
              </w:rPr>
            </w:pPr>
          </w:p>
        </w:tc>
      </w:tr>
    </w:tbl>
    <w:p w:rsidR="00E51865" w:rsidRPr="00E51865" w:rsidRDefault="00E51865" w:rsidP="00E51865">
      <w:pPr>
        <w:widowControl w:val="0"/>
        <w:jc w:val="both"/>
        <w:rPr>
          <w:rFonts w:ascii="Tahoma" w:hAnsi="Tahoma" w:cs="Tahoma"/>
          <w:snapToGrid w:val="0"/>
          <w:sz w:val="20"/>
          <w:szCs w:val="20"/>
        </w:rPr>
      </w:pPr>
    </w:p>
    <w:p w:rsidR="00E51865" w:rsidRDefault="00E51865" w:rsidP="00194492">
      <w:pPr>
        <w:rPr>
          <w:rFonts w:ascii="Calibri" w:hAnsi="Calibri"/>
          <w:b/>
          <w:sz w:val="20"/>
          <w:szCs w:val="16"/>
        </w:rPr>
      </w:pPr>
    </w:p>
    <w:p w:rsidR="00E51865" w:rsidRDefault="00E51865" w:rsidP="00194492">
      <w:pPr>
        <w:rPr>
          <w:rFonts w:ascii="Calibri" w:hAnsi="Calibri"/>
          <w:b/>
          <w:sz w:val="20"/>
          <w:szCs w:val="16"/>
        </w:rPr>
      </w:pPr>
    </w:p>
    <w:p w:rsidR="00E51865" w:rsidRDefault="00E51865" w:rsidP="00194492">
      <w:pPr>
        <w:rPr>
          <w:rFonts w:ascii="Calibri" w:hAnsi="Calibri"/>
          <w:b/>
          <w:sz w:val="20"/>
          <w:szCs w:val="16"/>
        </w:rPr>
      </w:pPr>
    </w:p>
    <w:p w:rsidR="00194492" w:rsidRPr="00194492" w:rsidRDefault="00194492" w:rsidP="00194492">
      <w:pPr>
        <w:rPr>
          <w:rFonts w:ascii="Calibri" w:hAnsi="Calibri"/>
          <w:sz w:val="20"/>
          <w:szCs w:val="16"/>
        </w:rPr>
      </w:pPr>
      <w:r w:rsidRPr="00194492">
        <w:rPr>
          <w:rFonts w:ascii="Calibri" w:hAnsi="Calibri"/>
          <w:b/>
          <w:sz w:val="20"/>
          <w:szCs w:val="16"/>
        </w:rPr>
        <w:t>1.0</w:t>
      </w:r>
      <w:r w:rsidRPr="00194492">
        <w:rPr>
          <w:rFonts w:ascii="Calibri" w:hAnsi="Calibri"/>
          <w:b/>
          <w:sz w:val="20"/>
          <w:szCs w:val="16"/>
        </w:rPr>
        <w:tab/>
        <w:t>DESCRIPTION</w:t>
      </w:r>
    </w:p>
    <w:bookmarkEnd w:id="2"/>
    <w:p w:rsidR="00E51865" w:rsidRPr="00E51865" w:rsidRDefault="00E51865" w:rsidP="00E51865">
      <w:pPr>
        <w:widowControl w:val="0"/>
        <w:jc w:val="both"/>
        <w:rPr>
          <w:rFonts w:ascii="Calibri" w:hAnsi="Calibri"/>
          <w:sz w:val="20"/>
          <w:szCs w:val="20"/>
        </w:rPr>
      </w:pPr>
      <w:r w:rsidRPr="00E51865">
        <w:rPr>
          <w:rFonts w:ascii="Calibri" w:hAnsi="Calibri"/>
          <w:sz w:val="20"/>
          <w:szCs w:val="20"/>
        </w:rPr>
        <w:t>The work in this Special Provision includes, but is not limited to, all materials, equipment, labor, and supervision required (except for the City’s Environmental Representative as discussed above) to excavate, stockpile, and dispose of non-hazardous contaminated soil at an off-site facility as directed by the Engineer.  Materials include soil contaminated with petroleum compounds, volatile organic compounds (VOCs), semi-volatile organic compounds (SVOCs), metals, or other contaminants. All work shall be in accordance with local, state, and federal safety and environmental regulations.  Contractor shall line any temporary soil stockpiles (under and above) with a minimum of 10-mil thick plastic liner.  Contractor shall manifest each shipment of contaminated soil.  Non-hazardous contaminated soil shall be sent to a facility permitted to accept such materials.  The facility shall be pre-approved by the City prior to work.</w:t>
      </w:r>
    </w:p>
    <w:p w:rsidR="00E51865" w:rsidRPr="00E51865" w:rsidRDefault="00E51865" w:rsidP="00E51865">
      <w:pPr>
        <w:widowControl w:val="0"/>
        <w:jc w:val="both"/>
        <w:rPr>
          <w:rFonts w:ascii="Calibri" w:hAnsi="Calibri"/>
          <w:sz w:val="20"/>
          <w:szCs w:val="20"/>
        </w:rPr>
      </w:pP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This Project Special Provision includes the purchase, transport, placement and compaction of</w:t>
      </w:r>
      <w:r>
        <w:rPr>
          <w:rFonts w:ascii="Calibri" w:hAnsi="Calibri"/>
          <w:sz w:val="20"/>
          <w:szCs w:val="20"/>
        </w:rPr>
        <w:t xml:space="preserve"> </w:t>
      </w:r>
      <w:r w:rsidRPr="00E51865">
        <w:rPr>
          <w:rFonts w:ascii="Calibri" w:hAnsi="Calibri"/>
          <w:sz w:val="20"/>
          <w:szCs w:val="20"/>
        </w:rPr>
        <w:t>fill required to offset excavated contaminated soils as incidental Work.</w:t>
      </w:r>
    </w:p>
    <w:p w:rsidR="00E51865" w:rsidRPr="00E51865" w:rsidRDefault="00E51865" w:rsidP="00E51865">
      <w:pPr>
        <w:widowControl w:val="0"/>
        <w:jc w:val="both"/>
        <w:rPr>
          <w:rFonts w:ascii="Calibri" w:hAnsi="Calibri"/>
          <w:sz w:val="20"/>
          <w:szCs w:val="20"/>
        </w:rPr>
      </w:pP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Construction Methods: Work in contaminated areas shall be in accordance with local, State, and Federal safety and environmental regulations. Management of known or suspected contaminated soil shall be conducted by workers trained in accordance with 29 CFR 1910.120 (HAZWOPER). Contractor shall line and cover temporary soil stockpiles (line under and cover above) with a minimum of 10 mil thick plastic. Contractor shall manifest each shipment of contaminated soil.  Contractor shall provide documentation (manifests, receipts, chain of custody, etc.) for removed soil showing final destination.</w:t>
      </w:r>
    </w:p>
    <w:p w:rsidR="00E51865" w:rsidRPr="00E51865" w:rsidRDefault="00E51865" w:rsidP="00E51865">
      <w:pPr>
        <w:widowControl w:val="0"/>
        <w:jc w:val="both"/>
        <w:rPr>
          <w:rFonts w:ascii="Calibri" w:hAnsi="Calibri"/>
          <w:sz w:val="20"/>
          <w:szCs w:val="20"/>
        </w:rPr>
      </w:pP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lastRenderedPageBreak/>
        <w:t>Areas of contamination shall be excavated to the depth and extent determined by the City.  Excavation shall be performed in a manner that will limit spills and the potential for contaminated material to be mixed with uncontaminated material.  If workers must enter the excavation, it shall be evaluated, shored, sloped or braced as required by OSHA regulations.  Surface water shall be diverted to prevent entry into the excavation.</w:t>
      </w:r>
    </w:p>
    <w:p w:rsidR="00E51865" w:rsidRPr="00E51865" w:rsidRDefault="00E51865" w:rsidP="00E51865">
      <w:pPr>
        <w:widowControl w:val="0"/>
        <w:jc w:val="both"/>
        <w:rPr>
          <w:rFonts w:ascii="Calibri" w:hAnsi="Calibri"/>
          <w:sz w:val="20"/>
          <w:szCs w:val="20"/>
        </w:rPr>
      </w:pP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Contractor shall obtain any required federal, state, and local permits for excavation and storage of contaminated material. Permits shall be obtained at no additional cost.</w:t>
      </w:r>
    </w:p>
    <w:p w:rsidR="00E51865" w:rsidRPr="00E51865" w:rsidRDefault="00E51865" w:rsidP="00E51865">
      <w:pPr>
        <w:widowControl w:val="0"/>
        <w:jc w:val="both"/>
        <w:rPr>
          <w:rFonts w:ascii="Calibri" w:hAnsi="Calibri"/>
          <w:sz w:val="20"/>
          <w:szCs w:val="20"/>
        </w:rPr>
      </w:pP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Provide appropriate spill response materials including, but not limited to the following: containers, adsorbents, shovels, and personal protective equipment. Spill response materials shall be available at all times when contaminated materials/wastes are being handled or transported. Spill response materials shall be compatible with the type of materials and contaminants being handled.</w:t>
      </w:r>
    </w:p>
    <w:p w:rsidR="00E51865" w:rsidRPr="00E51865" w:rsidRDefault="00E51865" w:rsidP="00E51865">
      <w:pPr>
        <w:widowControl w:val="0"/>
        <w:jc w:val="both"/>
        <w:rPr>
          <w:rFonts w:ascii="Calibri" w:hAnsi="Calibri"/>
          <w:sz w:val="20"/>
          <w:szCs w:val="20"/>
        </w:rPr>
      </w:pP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Confirmatory samples may be collected from stockpiles or the excavation by the City to verify cleanup criteria have been met.  Excavations shall be backfilled immediately after all contaminated materials have been removed and any confirmation test results have been approved.</w:t>
      </w:r>
    </w:p>
    <w:p w:rsidR="00E51865" w:rsidRPr="00E51865" w:rsidRDefault="00E51865" w:rsidP="00E51865">
      <w:pPr>
        <w:widowControl w:val="0"/>
        <w:jc w:val="both"/>
        <w:rPr>
          <w:rFonts w:ascii="Calibri" w:hAnsi="Calibri"/>
          <w:sz w:val="20"/>
          <w:szCs w:val="20"/>
        </w:rPr>
      </w:pP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If contaminated material removal is part of a larger project and a backfilling specification is</w:t>
      </w:r>
      <w:r>
        <w:rPr>
          <w:rFonts w:ascii="Calibri" w:hAnsi="Calibri"/>
          <w:sz w:val="20"/>
          <w:szCs w:val="20"/>
        </w:rPr>
        <w:t xml:space="preserve"> </w:t>
      </w:r>
      <w:r w:rsidRPr="00E51865">
        <w:rPr>
          <w:rFonts w:ascii="Calibri" w:hAnsi="Calibri"/>
          <w:sz w:val="20"/>
          <w:szCs w:val="20"/>
        </w:rPr>
        <w:t>needed for the project as a whole, refer to another specification for backfill requirements.</w:t>
      </w:r>
    </w:p>
    <w:p w:rsidR="00194492" w:rsidRPr="00194492" w:rsidRDefault="00194492" w:rsidP="003402F8">
      <w:pPr>
        <w:jc w:val="both"/>
        <w:rPr>
          <w:sz w:val="20"/>
          <w:szCs w:val="20"/>
        </w:rPr>
      </w:pPr>
    </w:p>
    <w:p w:rsidR="00194492" w:rsidRPr="00194492" w:rsidRDefault="00E51865" w:rsidP="003402F8">
      <w:pPr>
        <w:jc w:val="both"/>
        <w:rPr>
          <w:rFonts w:ascii="Calibri" w:hAnsi="Calibri"/>
          <w:sz w:val="20"/>
          <w:szCs w:val="16"/>
        </w:rPr>
      </w:pPr>
      <w:r>
        <w:rPr>
          <w:rFonts w:ascii="Calibri" w:hAnsi="Calibri"/>
          <w:b/>
          <w:sz w:val="20"/>
          <w:szCs w:val="16"/>
        </w:rPr>
        <w:t>2</w:t>
      </w:r>
      <w:r w:rsidR="00194492">
        <w:rPr>
          <w:rFonts w:ascii="Calibri" w:hAnsi="Calibri"/>
          <w:b/>
          <w:sz w:val="20"/>
          <w:szCs w:val="16"/>
        </w:rPr>
        <w:t>.0</w:t>
      </w:r>
      <w:r w:rsidR="00194492">
        <w:rPr>
          <w:rFonts w:ascii="Calibri" w:hAnsi="Calibri"/>
          <w:b/>
          <w:sz w:val="20"/>
          <w:szCs w:val="16"/>
        </w:rPr>
        <w:tab/>
        <w:t>MEASUREMENT</w:t>
      </w: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The quantity of non-hazardous contaminated soil excavation, stockpiling, transporting, backfilling with clean soil, and disposal to be paid for will be on a per-ton basis.  The Contractor shall provide manifest documents and weight tickets to the City’s on-site representative for verification and approval.</w:t>
      </w:r>
    </w:p>
    <w:p w:rsidR="00E51865" w:rsidRPr="00E51865" w:rsidRDefault="00E51865" w:rsidP="00E51865">
      <w:pPr>
        <w:widowControl w:val="0"/>
        <w:jc w:val="both"/>
        <w:rPr>
          <w:rFonts w:ascii="Calibri" w:hAnsi="Calibri"/>
          <w:sz w:val="20"/>
          <w:szCs w:val="20"/>
        </w:rPr>
      </w:pP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No Contract Time will be awarded for complying with the requirements of this Project Special Provision. Such payment will be full compensation for Work covered in this Project Special Provision.</w:t>
      </w:r>
    </w:p>
    <w:p w:rsidR="00DB1F6F" w:rsidRPr="005E2FDE" w:rsidRDefault="00DB1F6F" w:rsidP="003402F8">
      <w:pPr>
        <w:jc w:val="both"/>
        <w:rPr>
          <w:rFonts w:ascii="Calibri" w:hAnsi="Calibri"/>
          <w:sz w:val="20"/>
          <w:szCs w:val="20"/>
        </w:rPr>
      </w:pPr>
    </w:p>
    <w:p w:rsidR="00194492" w:rsidRPr="00194492" w:rsidRDefault="00E51865" w:rsidP="003402F8">
      <w:pPr>
        <w:jc w:val="both"/>
        <w:rPr>
          <w:rFonts w:ascii="Calibri" w:hAnsi="Calibri"/>
          <w:sz w:val="20"/>
          <w:szCs w:val="16"/>
        </w:rPr>
      </w:pPr>
      <w:r>
        <w:rPr>
          <w:rFonts w:ascii="Calibri" w:hAnsi="Calibri"/>
          <w:b/>
          <w:sz w:val="20"/>
          <w:szCs w:val="16"/>
        </w:rPr>
        <w:t>3</w:t>
      </w:r>
      <w:r w:rsidR="00194492">
        <w:rPr>
          <w:rFonts w:ascii="Calibri" w:hAnsi="Calibri"/>
          <w:b/>
          <w:sz w:val="20"/>
          <w:szCs w:val="16"/>
        </w:rPr>
        <w:t>.0</w:t>
      </w:r>
      <w:r w:rsidR="00194492">
        <w:rPr>
          <w:rFonts w:ascii="Calibri" w:hAnsi="Calibri"/>
          <w:b/>
          <w:sz w:val="20"/>
          <w:szCs w:val="16"/>
        </w:rPr>
        <w:tab/>
        <w:t>PAYMENT</w:t>
      </w: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Payment for non-hazardous contaminated soil disposal, measured as described above, will be made at the contract unit price per TON for “Disposal of Contaminated Soil”.  This price and payment will be full compensation for all elements of work required to excavate non-hazardous contaminated soil, stockpiling and disposing as directed by the Engineer and in accordance with the Plans and Specifications. </w:t>
      </w:r>
    </w:p>
    <w:p w:rsidR="00E51865" w:rsidRPr="00E51865" w:rsidRDefault="00E51865" w:rsidP="00E51865">
      <w:pPr>
        <w:widowControl w:val="0"/>
        <w:jc w:val="both"/>
        <w:rPr>
          <w:rFonts w:ascii="Calibri" w:hAnsi="Calibri"/>
          <w:sz w:val="20"/>
          <w:szCs w:val="20"/>
        </w:rPr>
      </w:pPr>
    </w:p>
    <w:p w:rsidR="00E51865" w:rsidRPr="00E51865" w:rsidRDefault="00E51865" w:rsidP="00E51865">
      <w:pPr>
        <w:widowControl w:val="0"/>
        <w:jc w:val="both"/>
        <w:rPr>
          <w:rFonts w:ascii="Calibri" w:hAnsi="Calibri"/>
          <w:sz w:val="20"/>
          <w:szCs w:val="20"/>
        </w:rPr>
      </w:pPr>
      <w:r w:rsidRPr="00E51865">
        <w:rPr>
          <w:rFonts w:ascii="Calibri" w:hAnsi="Calibri"/>
          <w:sz w:val="20"/>
          <w:szCs w:val="20"/>
        </w:rPr>
        <w:t>This unit cost shall include all aspects of grading, preparation, handling, placement, maintenance, removal, treatment, and disposal of stockpile cover materials and liner materials and all other items incidental to construction of stockpiles.</w:t>
      </w:r>
    </w:p>
    <w:p w:rsidR="00E51865" w:rsidRPr="00E51865" w:rsidRDefault="00E51865" w:rsidP="00E51865">
      <w:pPr>
        <w:widowControl w:val="0"/>
        <w:jc w:val="both"/>
        <w:rPr>
          <w:rFonts w:ascii="Calibri" w:hAnsi="Calibri"/>
          <w:sz w:val="20"/>
          <w:szCs w:val="20"/>
        </w:rPr>
      </w:pPr>
    </w:p>
    <w:p w:rsidR="00E51865" w:rsidRPr="00E51865" w:rsidRDefault="00E51865" w:rsidP="00E51865">
      <w:pPr>
        <w:autoSpaceDE w:val="0"/>
        <w:autoSpaceDN w:val="0"/>
        <w:adjustRightInd w:val="0"/>
        <w:rPr>
          <w:rFonts w:ascii="Calibri" w:hAnsi="Calibri"/>
          <w:sz w:val="20"/>
          <w:szCs w:val="20"/>
        </w:rPr>
      </w:pPr>
      <w:r w:rsidRPr="00E51865">
        <w:rPr>
          <w:rFonts w:ascii="Calibri" w:hAnsi="Calibri"/>
          <w:sz w:val="20"/>
          <w:szCs w:val="20"/>
        </w:rPr>
        <w:t>Actual quantities authorized by the Owner may vary between 0 and 200% of the estimated</w:t>
      </w:r>
      <w:r w:rsidR="009F7F5D">
        <w:rPr>
          <w:rFonts w:ascii="Calibri" w:hAnsi="Calibri"/>
          <w:sz w:val="20"/>
          <w:szCs w:val="20"/>
        </w:rPr>
        <w:t xml:space="preserve"> </w:t>
      </w:r>
      <w:r w:rsidRPr="00E51865">
        <w:rPr>
          <w:rFonts w:ascii="Calibri" w:hAnsi="Calibri"/>
          <w:sz w:val="20"/>
          <w:szCs w:val="20"/>
        </w:rPr>
        <w:t>quantities; and the bid price will be deemed valid for all quantities within that range, without adjustment.</w:t>
      </w:r>
    </w:p>
    <w:p w:rsidR="00E51865" w:rsidRPr="00E51865" w:rsidRDefault="00E51865" w:rsidP="00E51865">
      <w:pPr>
        <w:autoSpaceDE w:val="0"/>
        <w:autoSpaceDN w:val="0"/>
        <w:adjustRightInd w:val="0"/>
        <w:rPr>
          <w:rFonts w:ascii="Calibri" w:hAnsi="Calibri"/>
          <w:sz w:val="20"/>
          <w:szCs w:val="20"/>
        </w:rPr>
      </w:pPr>
    </w:p>
    <w:p w:rsidR="00E51865" w:rsidRPr="00E51865" w:rsidRDefault="00E51865" w:rsidP="00E51865">
      <w:pPr>
        <w:autoSpaceDE w:val="0"/>
        <w:autoSpaceDN w:val="0"/>
        <w:adjustRightInd w:val="0"/>
        <w:rPr>
          <w:rFonts w:ascii="Calibri" w:hAnsi="Calibri"/>
          <w:sz w:val="20"/>
          <w:szCs w:val="20"/>
        </w:rPr>
      </w:pPr>
      <w:r w:rsidRPr="00E51865">
        <w:rPr>
          <w:rFonts w:ascii="Calibri" w:hAnsi="Calibri"/>
          <w:sz w:val="20"/>
          <w:szCs w:val="20"/>
        </w:rPr>
        <w:t>Contractor acknowledges that quantities are not guaranteed and final payment will be based on actual quantity determined.</w:t>
      </w:r>
    </w:p>
    <w:p w:rsidR="00E51865" w:rsidRPr="00E51865" w:rsidRDefault="00E51865" w:rsidP="00E51865">
      <w:pPr>
        <w:widowControl w:val="0"/>
        <w:tabs>
          <w:tab w:val="left" w:pos="720"/>
          <w:tab w:val="left" w:pos="8640"/>
        </w:tabs>
        <w:ind w:left="720" w:hanging="720"/>
        <w:jc w:val="both"/>
        <w:rPr>
          <w:rFonts w:ascii="Calibri" w:hAnsi="Calibri"/>
          <w:sz w:val="20"/>
          <w:szCs w:val="20"/>
        </w:rPr>
      </w:pPr>
    </w:p>
    <w:p w:rsidR="00E51865" w:rsidRPr="00E51865" w:rsidRDefault="00E51865" w:rsidP="00E51865">
      <w:pPr>
        <w:widowControl w:val="0"/>
        <w:rPr>
          <w:rFonts w:ascii="Tahoma" w:hAnsi="Tahoma" w:cs="Tahoma"/>
          <w:snapToGrid w:val="0"/>
          <w:sz w:val="20"/>
          <w:szCs w:val="20"/>
        </w:rPr>
      </w:pPr>
    </w:p>
    <w:p w:rsidR="00DB1F6F" w:rsidRPr="005E2FDE" w:rsidRDefault="00DB1F6F" w:rsidP="00DB1F6F">
      <w:pPr>
        <w:rPr>
          <w:rFonts w:ascii="Calibri" w:hAnsi="Calibri"/>
          <w:sz w:val="20"/>
          <w:szCs w:val="20"/>
        </w:rPr>
      </w:pPr>
      <w:r w:rsidRPr="005E2FDE">
        <w:rPr>
          <w:rFonts w:ascii="Calibri" w:hAnsi="Calibri"/>
          <w:sz w:val="20"/>
          <w:szCs w:val="20"/>
        </w:rPr>
        <w:t>Payment will be made under:</w:t>
      </w:r>
    </w:p>
    <w:p w:rsidR="00DB1F6F" w:rsidRPr="005E2FDE" w:rsidRDefault="00DB1F6F" w:rsidP="00DB1F6F">
      <w:pPr>
        <w:rPr>
          <w:rFonts w:ascii="Calibri" w:hAnsi="Calibri"/>
          <w:sz w:val="20"/>
          <w:szCs w:val="20"/>
        </w:rPr>
      </w:pPr>
    </w:p>
    <w:p w:rsidR="00523942" w:rsidRPr="00AB454A" w:rsidRDefault="009F7F5D" w:rsidP="00523942">
      <w:pPr>
        <w:pStyle w:val="Heading2"/>
        <w:rPr>
          <w:rFonts w:ascii="Calibri" w:hAnsi="Calibri"/>
          <w:szCs w:val="20"/>
        </w:rPr>
      </w:pPr>
      <w:r>
        <w:rPr>
          <w:rFonts w:ascii="Calibri" w:hAnsi="Calibri"/>
          <w:szCs w:val="20"/>
        </w:rPr>
        <w:t>EXCAVATE, STOCKPILE, TRANSPORT, AND DISPOSE OF NON-HAZARDOUS CONTAMINATED SOILS ………………….TN</w:t>
      </w:r>
    </w:p>
    <w:p w:rsidR="00523942" w:rsidRPr="00523942" w:rsidRDefault="00523942" w:rsidP="00523942"/>
    <w:sectPr w:rsidR="00523942" w:rsidRPr="005239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botkin" w:date="2016-06-13T16:18:00Z" w:initials="c">
    <w:p w:rsidR="00194492" w:rsidRDefault="00194492" w:rsidP="00194492">
      <w:pPr>
        <w:pStyle w:val="CommentText"/>
      </w:pPr>
      <w:r>
        <w:rPr>
          <w:rStyle w:val="CommentReference"/>
        </w:rPr>
        <w:annotationRef/>
      </w:r>
      <w:r>
        <w:t xml:space="preserve">Version Date is the last date the City revised the SP.  </w:t>
      </w:r>
    </w:p>
    <w:p w:rsidR="00194492" w:rsidRDefault="00194492" w:rsidP="00194492">
      <w:pPr>
        <w:pStyle w:val="CommentText"/>
      </w:pPr>
      <w:r>
        <w:t xml:space="preserve">Revision Date is the last date that the SP was revised for project specific needs, and is only relevant to the project.  </w:t>
      </w:r>
    </w:p>
    <w:p w:rsidR="00194492" w:rsidRDefault="00194492" w:rsidP="00194492">
      <w:pPr>
        <w:pStyle w:val="CommentText"/>
      </w:pPr>
      <w:r>
        <w:t>If the original is revised for the project, add a revision date, initials of Engineer, and place an R after the SP # in the project manual (Ex. SP-9R).</w:t>
      </w:r>
    </w:p>
    <w:p w:rsidR="00194492" w:rsidRDefault="00194492" w:rsidP="00194492">
      <w:pPr>
        <w:pStyle w:val="CommentText"/>
      </w:pPr>
      <w:r>
        <w:t>Leave the Revision Date blank if no project specific changes were required by the Engineer.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6F"/>
    <w:rsid w:val="0002383F"/>
    <w:rsid w:val="000257CC"/>
    <w:rsid w:val="000D6AC8"/>
    <w:rsid w:val="00161150"/>
    <w:rsid w:val="00194492"/>
    <w:rsid w:val="001E5464"/>
    <w:rsid w:val="002024CE"/>
    <w:rsid w:val="00223757"/>
    <w:rsid w:val="00257090"/>
    <w:rsid w:val="00286285"/>
    <w:rsid w:val="00300216"/>
    <w:rsid w:val="003402F8"/>
    <w:rsid w:val="00345C2B"/>
    <w:rsid w:val="00395A27"/>
    <w:rsid w:val="003B0878"/>
    <w:rsid w:val="00423D61"/>
    <w:rsid w:val="00492F67"/>
    <w:rsid w:val="004B4BE5"/>
    <w:rsid w:val="004E28EF"/>
    <w:rsid w:val="00523942"/>
    <w:rsid w:val="005D041A"/>
    <w:rsid w:val="006874B9"/>
    <w:rsid w:val="0070035A"/>
    <w:rsid w:val="0071231B"/>
    <w:rsid w:val="0077770F"/>
    <w:rsid w:val="007A1491"/>
    <w:rsid w:val="00802F3E"/>
    <w:rsid w:val="00836E98"/>
    <w:rsid w:val="008424DE"/>
    <w:rsid w:val="008967ED"/>
    <w:rsid w:val="009F7F5D"/>
    <w:rsid w:val="00A561E3"/>
    <w:rsid w:val="00AB454A"/>
    <w:rsid w:val="00B34152"/>
    <w:rsid w:val="00DB1F6F"/>
    <w:rsid w:val="00E22440"/>
    <w:rsid w:val="00E51865"/>
    <w:rsid w:val="00FC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B1F6F"/>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1F6F"/>
    <w:rPr>
      <w:rFonts w:ascii="Times New Roman" w:eastAsia="Times New Roman" w:hAnsi="Times New Roman" w:cs="Times New Roman"/>
      <w:b/>
      <w:sz w:val="20"/>
      <w:szCs w:val="24"/>
    </w:rPr>
  </w:style>
  <w:style w:type="paragraph" w:styleId="CommentText">
    <w:name w:val="annotation text"/>
    <w:basedOn w:val="Normal"/>
    <w:link w:val="CommentTextChar"/>
    <w:uiPriority w:val="99"/>
    <w:semiHidden/>
    <w:unhideWhenUsed/>
    <w:rsid w:val="00194492"/>
    <w:rPr>
      <w:sz w:val="20"/>
      <w:szCs w:val="20"/>
    </w:rPr>
  </w:style>
  <w:style w:type="character" w:customStyle="1" w:styleId="CommentTextChar">
    <w:name w:val="Comment Text Char"/>
    <w:basedOn w:val="DefaultParagraphFont"/>
    <w:link w:val="CommentText"/>
    <w:uiPriority w:val="99"/>
    <w:semiHidden/>
    <w:rsid w:val="00194492"/>
    <w:rPr>
      <w:rFonts w:ascii="Times New Roman" w:eastAsia="Times New Roman" w:hAnsi="Times New Roman" w:cs="Times New Roman"/>
      <w:sz w:val="20"/>
      <w:szCs w:val="20"/>
    </w:rPr>
  </w:style>
  <w:style w:type="character" w:styleId="CommentReference">
    <w:name w:val="annotation reference"/>
    <w:uiPriority w:val="99"/>
    <w:unhideWhenUsed/>
    <w:rsid w:val="00194492"/>
    <w:rPr>
      <w:sz w:val="16"/>
      <w:szCs w:val="16"/>
    </w:rPr>
  </w:style>
  <w:style w:type="paragraph" w:styleId="BalloonText">
    <w:name w:val="Balloon Text"/>
    <w:basedOn w:val="Normal"/>
    <w:link w:val="BalloonTextChar"/>
    <w:uiPriority w:val="99"/>
    <w:semiHidden/>
    <w:unhideWhenUsed/>
    <w:rsid w:val="00194492"/>
    <w:rPr>
      <w:rFonts w:ascii="Tahoma" w:hAnsi="Tahoma" w:cs="Tahoma"/>
      <w:sz w:val="16"/>
      <w:szCs w:val="16"/>
    </w:rPr>
  </w:style>
  <w:style w:type="character" w:customStyle="1" w:styleId="BalloonTextChar">
    <w:name w:val="Balloon Text Char"/>
    <w:basedOn w:val="DefaultParagraphFont"/>
    <w:link w:val="BalloonText"/>
    <w:uiPriority w:val="99"/>
    <w:semiHidden/>
    <w:rsid w:val="0019449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C65E6"/>
    <w:rPr>
      <w:b/>
      <w:bCs/>
    </w:rPr>
  </w:style>
  <w:style w:type="character" w:customStyle="1" w:styleId="CommentSubjectChar">
    <w:name w:val="Comment Subject Char"/>
    <w:basedOn w:val="CommentTextChar"/>
    <w:link w:val="CommentSubject"/>
    <w:uiPriority w:val="99"/>
    <w:semiHidden/>
    <w:rsid w:val="00FC65E6"/>
    <w:rPr>
      <w:rFonts w:ascii="Times New Roman" w:eastAsia="Times New Roman" w:hAnsi="Times New Roman" w:cs="Times New Roman"/>
      <w:b/>
      <w:bCs/>
      <w:sz w:val="20"/>
      <w:szCs w:val="20"/>
    </w:rPr>
  </w:style>
  <w:style w:type="table" w:styleId="TableGrid">
    <w:name w:val="Table Grid"/>
    <w:basedOn w:val="TableNormal"/>
    <w:rsid w:val="00E51865"/>
    <w:pPr>
      <w:spacing w:after="0" w:line="240" w:lineRule="auto"/>
    </w:pPr>
    <w:rPr>
      <w:rFonts w:ascii="Trebuchet MS" w:eastAsia="Times New Roman" w:hAnsi="Trebuchet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B1F6F"/>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1F6F"/>
    <w:rPr>
      <w:rFonts w:ascii="Times New Roman" w:eastAsia="Times New Roman" w:hAnsi="Times New Roman" w:cs="Times New Roman"/>
      <w:b/>
      <w:sz w:val="20"/>
      <w:szCs w:val="24"/>
    </w:rPr>
  </w:style>
  <w:style w:type="paragraph" w:styleId="CommentText">
    <w:name w:val="annotation text"/>
    <w:basedOn w:val="Normal"/>
    <w:link w:val="CommentTextChar"/>
    <w:uiPriority w:val="99"/>
    <w:semiHidden/>
    <w:unhideWhenUsed/>
    <w:rsid w:val="00194492"/>
    <w:rPr>
      <w:sz w:val="20"/>
      <w:szCs w:val="20"/>
    </w:rPr>
  </w:style>
  <w:style w:type="character" w:customStyle="1" w:styleId="CommentTextChar">
    <w:name w:val="Comment Text Char"/>
    <w:basedOn w:val="DefaultParagraphFont"/>
    <w:link w:val="CommentText"/>
    <w:uiPriority w:val="99"/>
    <w:semiHidden/>
    <w:rsid w:val="00194492"/>
    <w:rPr>
      <w:rFonts w:ascii="Times New Roman" w:eastAsia="Times New Roman" w:hAnsi="Times New Roman" w:cs="Times New Roman"/>
      <w:sz w:val="20"/>
      <w:szCs w:val="20"/>
    </w:rPr>
  </w:style>
  <w:style w:type="character" w:styleId="CommentReference">
    <w:name w:val="annotation reference"/>
    <w:uiPriority w:val="99"/>
    <w:unhideWhenUsed/>
    <w:rsid w:val="00194492"/>
    <w:rPr>
      <w:sz w:val="16"/>
      <w:szCs w:val="16"/>
    </w:rPr>
  </w:style>
  <w:style w:type="paragraph" w:styleId="BalloonText">
    <w:name w:val="Balloon Text"/>
    <w:basedOn w:val="Normal"/>
    <w:link w:val="BalloonTextChar"/>
    <w:uiPriority w:val="99"/>
    <w:semiHidden/>
    <w:unhideWhenUsed/>
    <w:rsid w:val="00194492"/>
    <w:rPr>
      <w:rFonts w:ascii="Tahoma" w:hAnsi="Tahoma" w:cs="Tahoma"/>
      <w:sz w:val="16"/>
      <w:szCs w:val="16"/>
    </w:rPr>
  </w:style>
  <w:style w:type="character" w:customStyle="1" w:styleId="BalloonTextChar">
    <w:name w:val="Balloon Text Char"/>
    <w:basedOn w:val="DefaultParagraphFont"/>
    <w:link w:val="BalloonText"/>
    <w:uiPriority w:val="99"/>
    <w:semiHidden/>
    <w:rsid w:val="0019449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C65E6"/>
    <w:rPr>
      <w:b/>
      <w:bCs/>
    </w:rPr>
  </w:style>
  <w:style w:type="character" w:customStyle="1" w:styleId="CommentSubjectChar">
    <w:name w:val="Comment Subject Char"/>
    <w:basedOn w:val="CommentTextChar"/>
    <w:link w:val="CommentSubject"/>
    <w:uiPriority w:val="99"/>
    <w:semiHidden/>
    <w:rsid w:val="00FC65E6"/>
    <w:rPr>
      <w:rFonts w:ascii="Times New Roman" w:eastAsia="Times New Roman" w:hAnsi="Times New Roman" w:cs="Times New Roman"/>
      <w:b/>
      <w:bCs/>
      <w:sz w:val="20"/>
      <w:szCs w:val="20"/>
    </w:rPr>
  </w:style>
  <w:style w:type="table" w:styleId="TableGrid">
    <w:name w:val="Table Grid"/>
    <w:basedOn w:val="TableNormal"/>
    <w:rsid w:val="00E51865"/>
    <w:pPr>
      <w:spacing w:after="0" w:line="240" w:lineRule="auto"/>
    </w:pPr>
    <w:rPr>
      <w:rFonts w:ascii="Trebuchet MS" w:eastAsia="Times New Roman" w:hAnsi="Trebuchet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2017-02-03T19:07:53+00:00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CFAB01AC-A1D3-4C81-9C05-1EA119F11202}"/>
</file>

<file path=customXml/itemProps2.xml><?xml version="1.0" encoding="utf-8"?>
<ds:datastoreItem xmlns:ds="http://schemas.openxmlformats.org/officeDocument/2006/customXml" ds:itemID="{358FB9A3-ED1F-4F97-89E8-86BD4ADBBEB5}"/>
</file>

<file path=customXml/itemProps3.xml><?xml version="1.0" encoding="utf-8"?>
<ds:datastoreItem xmlns:ds="http://schemas.openxmlformats.org/officeDocument/2006/customXml" ds:itemID="{D4E2AA2A-B664-4236-8D67-B7292357B295}"/>
</file>

<file path=docProps/app.xml><?xml version="1.0" encoding="utf-8"?>
<Properties xmlns="http://schemas.openxmlformats.org/officeDocument/2006/extended-properties" xmlns:vt="http://schemas.openxmlformats.org/officeDocument/2006/docPropsVTypes">
  <Template>Normal</Template>
  <TotalTime>7</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rchambers</dc:creator>
  <cp:lastModifiedBy>Williams, Crystal</cp:lastModifiedBy>
  <cp:revision>4</cp:revision>
  <dcterms:created xsi:type="dcterms:W3CDTF">2016-12-19T21:15:00Z</dcterms:created>
  <dcterms:modified xsi:type="dcterms:W3CDTF">2017-02-03T15:31:00Z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36000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