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9F647A" w14:textId="72D8F08C" w:rsidR="00666EC7" w:rsidRPr="00CA1163" w:rsidRDefault="00781A65" w:rsidP="00666EC7">
      <w:pPr>
        <w:pStyle w:val="Heading4"/>
        <w:rPr>
          <w:caps/>
          <w:u w:val="none"/>
        </w:rPr>
      </w:pPr>
      <w:bookmarkStart w:id="0" w:name="_Toc297275368"/>
      <w:bookmarkStart w:id="1" w:name="_Toc314729640"/>
      <w:bookmarkStart w:id="2" w:name="_Toc314817768"/>
      <w:bookmarkStart w:id="3" w:name="_Toc315776756"/>
      <w:bookmarkStart w:id="4" w:name="_Toc146533914"/>
      <w:bookmarkStart w:id="5" w:name="_Toc187815930"/>
      <w:bookmarkStart w:id="6" w:name="_Toc222559065"/>
      <w:bookmarkStart w:id="7" w:name="_Toc252164069"/>
      <w:bookmarkStart w:id="8" w:name="_Toc273957811"/>
      <w:commentRangeStart w:id="9"/>
      <w:r w:rsidRPr="00CA1163">
        <w:rPr>
          <w:caps/>
          <w:u w:val="none"/>
        </w:rPr>
        <w:t>SP-</w:t>
      </w:r>
      <w:r w:rsidR="0094684E">
        <w:rPr>
          <w:caps/>
          <w:u w:val="none"/>
        </w:rPr>
        <w:t>0</w:t>
      </w:r>
      <w:r w:rsidR="00FF1898" w:rsidRPr="00CA1163">
        <w:rPr>
          <w:caps/>
          <w:u w:val="none"/>
        </w:rPr>
        <w:t>4,</w:t>
      </w:r>
      <w:r w:rsidRPr="00CA1163">
        <w:rPr>
          <w:caps/>
          <w:u w:val="none"/>
        </w:rPr>
        <w:t xml:space="preserve"> </w:t>
      </w:r>
      <w:r w:rsidR="00666EC7" w:rsidRPr="00CA1163">
        <w:rPr>
          <w:caps/>
          <w:u w:val="none"/>
        </w:rPr>
        <w:t>Borrow Excavation</w:t>
      </w:r>
      <w:bookmarkEnd w:id="0"/>
      <w:bookmarkEnd w:id="1"/>
      <w:bookmarkEnd w:id="2"/>
      <w:bookmarkEnd w:id="3"/>
      <w:commentRangeEnd w:id="9"/>
      <w:r w:rsidR="006E6508" w:rsidRPr="00CA1163">
        <w:rPr>
          <w:rStyle w:val="CommentReference"/>
          <w:b w:val="0"/>
          <w:bCs w:val="0"/>
          <w:caps/>
          <w:u w:val="none"/>
        </w:rPr>
        <w:commentReference w:id="9"/>
      </w:r>
      <w:r w:rsidR="00666EC7" w:rsidRPr="00CA1163">
        <w:rPr>
          <w:caps/>
          <w:u w:val="none"/>
        </w:rPr>
        <w:fldChar w:fldCharType="begin"/>
      </w:r>
      <w:r w:rsidR="00666EC7" w:rsidRPr="00CA1163">
        <w:rPr>
          <w:caps/>
          <w:u w:val="none"/>
        </w:rPr>
        <w:instrText>tc \l2 "</w:instrText>
      </w:r>
      <w:bookmarkStart w:id="10" w:name="_Toc124749954"/>
      <w:r w:rsidR="00666EC7" w:rsidRPr="00CA1163">
        <w:rPr>
          <w:caps/>
          <w:u w:val="none"/>
        </w:rPr>
        <w:instrText>SP-3, BORROW EXCAVATION</w:instrText>
      </w:r>
      <w:bookmarkEnd w:id="10"/>
      <w:r w:rsidR="00666EC7" w:rsidRPr="00CA1163">
        <w:rPr>
          <w:caps/>
          <w:u w:val="none"/>
        </w:rPr>
        <w:fldChar w:fldCharType="end"/>
      </w:r>
      <w:bookmarkEnd w:id="4"/>
      <w:bookmarkEnd w:id="5"/>
      <w:bookmarkEnd w:id="6"/>
      <w:bookmarkEnd w:id="7"/>
      <w:bookmarkEnd w:id="8"/>
    </w:p>
    <w:p w14:paraId="7B7ADA3C" w14:textId="4F119DFE" w:rsidR="00936617" w:rsidRPr="00244F49" w:rsidRDefault="00936617" w:rsidP="00936617">
      <w:pPr>
        <w:tabs>
          <w:tab w:val="right" w:pos="9360"/>
        </w:tabs>
        <w:rPr>
          <w:szCs w:val="20"/>
        </w:rPr>
      </w:pPr>
      <w:r w:rsidRPr="00244F49">
        <w:rPr>
          <w:szCs w:val="20"/>
        </w:rPr>
        <w:t xml:space="preserve">Version Date: </w:t>
      </w:r>
      <w:r w:rsidR="00F908E3">
        <w:rPr>
          <w:szCs w:val="20"/>
        </w:rPr>
        <w:t>03/21/2016</w:t>
      </w:r>
      <w:r w:rsidRPr="00244F49">
        <w:rPr>
          <w:szCs w:val="20"/>
        </w:rPr>
        <w:tab/>
        <w:t>Revision Date:  XX/XX/XXXX by XXX</w:t>
      </w:r>
      <w:r w:rsidRPr="00244F49">
        <w:rPr>
          <w:rStyle w:val="CommentReference"/>
          <w:szCs w:val="20"/>
        </w:rPr>
        <w:commentReference w:id="11"/>
      </w:r>
    </w:p>
    <w:p w14:paraId="629F647B" w14:textId="77777777" w:rsidR="00666EC7" w:rsidRPr="004809E0" w:rsidRDefault="00666EC7" w:rsidP="00666EC7">
      <w:pPr>
        <w:tabs>
          <w:tab w:val="left" w:pos="720"/>
          <w:tab w:val="left" w:pos="1440"/>
          <w:tab w:val="right" w:leader="dot" w:pos="9360"/>
        </w:tabs>
        <w:rPr>
          <w:szCs w:val="20"/>
        </w:rPr>
      </w:pPr>
    </w:p>
    <w:p w14:paraId="629F647C" w14:textId="187E5CC0" w:rsidR="00666EC7" w:rsidRDefault="00CA1163" w:rsidP="00CA1163">
      <w:pPr>
        <w:pStyle w:val="ListParagraph"/>
        <w:numPr>
          <w:ilvl w:val="0"/>
          <w:numId w:val="3"/>
        </w:numPr>
        <w:tabs>
          <w:tab w:val="left" w:pos="720"/>
          <w:tab w:val="left" w:pos="1440"/>
          <w:tab w:val="right" w:leader="dot" w:pos="9360"/>
        </w:tabs>
        <w:rPr>
          <w:rStyle w:val="Heading1Char"/>
        </w:rPr>
      </w:pPr>
      <w:r w:rsidRPr="00CA1163">
        <w:rPr>
          <w:rStyle w:val="Heading1Char"/>
        </w:rPr>
        <w:t>Description</w:t>
      </w:r>
    </w:p>
    <w:p w14:paraId="629F647D" w14:textId="77777777" w:rsidR="00666EC7" w:rsidRPr="004809E0" w:rsidRDefault="00666EC7" w:rsidP="00666EC7">
      <w:pPr>
        <w:tabs>
          <w:tab w:val="left" w:pos="720"/>
          <w:tab w:val="left" w:pos="1440"/>
          <w:tab w:val="right" w:leader="dot" w:pos="9360"/>
        </w:tabs>
        <w:rPr>
          <w:szCs w:val="20"/>
        </w:rPr>
      </w:pPr>
      <w:r w:rsidRPr="004809E0">
        <w:rPr>
          <w:szCs w:val="20"/>
        </w:rPr>
        <w:t>The work covered in this special provision includes all elements of work covered in section 230 "Borrow Excavation" of the Standard Specifications with the following exception pertaining to payment.</w:t>
      </w:r>
    </w:p>
    <w:p w14:paraId="629F647E" w14:textId="77777777" w:rsidR="00666EC7" w:rsidRPr="004809E0" w:rsidRDefault="00666EC7" w:rsidP="00666EC7">
      <w:pPr>
        <w:tabs>
          <w:tab w:val="left" w:pos="720"/>
          <w:tab w:val="left" w:pos="1440"/>
          <w:tab w:val="right" w:leader="dot" w:pos="9360"/>
        </w:tabs>
        <w:rPr>
          <w:szCs w:val="20"/>
        </w:rPr>
      </w:pPr>
      <w:bookmarkStart w:id="12" w:name="_GoBack"/>
      <w:bookmarkEnd w:id="12"/>
    </w:p>
    <w:p w14:paraId="629F647F" w14:textId="1ED1FF40" w:rsidR="00666EC7" w:rsidRDefault="00CA1163" w:rsidP="00CA1163">
      <w:pPr>
        <w:pStyle w:val="ListParagraph"/>
        <w:numPr>
          <w:ilvl w:val="0"/>
          <w:numId w:val="3"/>
        </w:numPr>
        <w:tabs>
          <w:tab w:val="left" w:pos="720"/>
          <w:tab w:val="left" w:pos="1440"/>
          <w:tab w:val="right" w:leader="dot" w:pos="9360"/>
        </w:tabs>
        <w:rPr>
          <w:rStyle w:val="Heading1Char"/>
        </w:rPr>
      </w:pPr>
      <w:r>
        <w:rPr>
          <w:rStyle w:val="Heading1Char"/>
        </w:rPr>
        <w:t>Measurement</w:t>
      </w:r>
    </w:p>
    <w:p w14:paraId="629F6480" w14:textId="77777777" w:rsidR="00666EC7" w:rsidRPr="004809E0" w:rsidRDefault="00666EC7" w:rsidP="00666EC7">
      <w:pPr>
        <w:tabs>
          <w:tab w:val="left" w:pos="720"/>
          <w:tab w:val="left" w:pos="1440"/>
          <w:tab w:val="right" w:leader="dot" w:pos="9360"/>
        </w:tabs>
        <w:rPr>
          <w:szCs w:val="20"/>
        </w:rPr>
      </w:pPr>
      <w:r w:rsidRPr="004809E0">
        <w:rPr>
          <w:szCs w:val="20"/>
        </w:rPr>
        <w:t>Measurement shall be made in accordance with the Standard Specifications, Section 230-5</w:t>
      </w:r>
      <w:r w:rsidR="00FF1898">
        <w:rPr>
          <w:szCs w:val="20"/>
        </w:rPr>
        <w:t>(A) In-Place Measurement or Section 230-5</w:t>
      </w:r>
      <w:r>
        <w:rPr>
          <w:szCs w:val="20"/>
        </w:rPr>
        <w:t>(B)</w:t>
      </w:r>
      <w:r w:rsidRPr="004809E0">
        <w:rPr>
          <w:szCs w:val="20"/>
        </w:rPr>
        <w:t xml:space="preserve"> Truck Measurement</w:t>
      </w:r>
      <w:r w:rsidR="00FF1898">
        <w:rPr>
          <w:szCs w:val="20"/>
        </w:rPr>
        <w:t xml:space="preserve"> as directed by the Engineer</w:t>
      </w:r>
      <w:r w:rsidRPr="004809E0">
        <w:rPr>
          <w:szCs w:val="20"/>
        </w:rPr>
        <w:t>.</w:t>
      </w:r>
    </w:p>
    <w:p w14:paraId="629F6481" w14:textId="77777777" w:rsidR="00666EC7" w:rsidRPr="004809E0" w:rsidRDefault="00666EC7" w:rsidP="00666EC7">
      <w:pPr>
        <w:tabs>
          <w:tab w:val="left" w:pos="720"/>
          <w:tab w:val="left" w:pos="1440"/>
          <w:tab w:val="right" w:leader="dot" w:pos="9360"/>
        </w:tabs>
        <w:rPr>
          <w:szCs w:val="20"/>
        </w:rPr>
      </w:pPr>
    </w:p>
    <w:p w14:paraId="629F6482" w14:textId="71CFA8C3" w:rsidR="00666EC7" w:rsidRPr="00CA1163" w:rsidRDefault="00CA1163" w:rsidP="00CA1163">
      <w:pPr>
        <w:pStyle w:val="ListParagraph"/>
        <w:numPr>
          <w:ilvl w:val="0"/>
          <w:numId w:val="3"/>
        </w:numPr>
        <w:tabs>
          <w:tab w:val="left" w:pos="720"/>
          <w:tab w:val="left" w:pos="1440"/>
          <w:tab w:val="right" w:leader="dot" w:pos="9360"/>
        </w:tabs>
        <w:rPr>
          <w:rStyle w:val="Heading1Char"/>
        </w:rPr>
      </w:pPr>
      <w:r>
        <w:rPr>
          <w:rStyle w:val="Heading1Char"/>
        </w:rPr>
        <w:t>Payment</w:t>
      </w:r>
    </w:p>
    <w:p w14:paraId="629F6483" w14:textId="790C8526" w:rsidR="00666EC7" w:rsidRDefault="00666EC7" w:rsidP="00666EC7">
      <w:pPr>
        <w:tabs>
          <w:tab w:val="left" w:pos="720"/>
          <w:tab w:val="left" w:pos="1440"/>
          <w:tab w:val="right" w:leader="dot" w:pos="9360"/>
        </w:tabs>
        <w:rPr>
          <w:szCs w:val="20"/>
        </w:rPr>
      </w:pPr>
      <w:r w:rsidRPr="004809E0">
        <w:rPr>
          <w:szCs w:val="20"/>
        </w:rPr>
        <w:t xml:space="preserve">The quantity of Borrow Excavation, measured as provided above, will be paid for at the contract unit price per cubic yard for </w:t>
      </w:r>
      <w:r w:rsidRPr="00781A65">
        <w:rPr>
          <w:i/>
          <w:szCs w:val="20"/>
        </w:rPr>
        <w:t>Borrow Excavation</w:t>
      </w:r>
      <w:r w:rsidRPr="004809E0">
        <w:rPr>
          <w:szCs w:val="20"/>
        </w:rPr>
        <w:t>. When Borrow Excavation is used to replace soil that has been determined to be unsuitable by the Engineering Department due to moisture, poor soil composition, or other factor</w:t>
      </w:r>
      <w:r w:rsidR="00F908E3">
        <w:rPr>
          <w:szCs w:val="20"/>
        </w:rPr>
        <w:t>s, the contract unit price for Borrow E</w:t>
      </w:r>
      <w:r w:rsidRPr="004809E0">
        <w:rPr>
          <w:szCs w:val="20"/>
        </w:rPr>
        <w:t xml:space="preserve">xcavation shall include all excavation, removal from site, and proper disposal of unsuitable soil. </w:t>
      </w:r>
    </w:p>
    <w:p w14:paraId="629F6484" w14:textId="77777777" w:rsidR="00781A65" w:rsidRPr="004809E0" w:rsidRDefault="00781A65" w:rsidP="00666EC7">
      <w:pPr>
        <w:tabs>
          <w:tab w:val="left" w:pos="720"/>
          <w:tab w:val="left" w:pos="1440"/>
          <w:tab w:val="right" w:leader="dot" w:pos="9360"/>
        </w:tabs>
        <w:rPr>
          <w:szCs w:val="20"/>
        </w:rPr>
      </w:pPr>
    </w:p>
    <w:p w14:paraId="629F6485" w14:textId="77777777" w:rsidR="00781A65" w:rsidRPr="00E9282B" w:rsidRDefault="00781A65" w:rsidP="00781A65">
      <w:pPr>
        <w:rPr>
          <w:rFonts w:cs="Calibri"/>
          <w:color w:val="000000"/>
          <w:szCs w:val="20"/>
        </w:rPr>
      </w:pPr>
      <w:r w:rsidRPr="00E9282B">
        <w:rPr>
          <w:rFonts w:cs="Calibri"/>
          <w:color w:val="000000"/>
          <w:szCs w:val="20"/>
        </w:rPr>
        <w:t xml:space="preserve">The contract unit price for </w:t>
      </w:r>
      <w:r>
        <w:rPr>
          <w:rFonts w:cs="Calibri"/>
          <w:i/>
          <w:color w:val="000000"/>
          <w:szCs w:val="20"/>
        </w:rPr>
        <w:t>Borrow Excavation</w:t>
      </w:r>
      <w:r w:rsidRPr="00E9282B">
        <w:rPr>
          <w:rFonts w:cs="Calibri"/>
          <w:color w:val="000000"/>
          <w:szCs w:val="20"/>
        </w:rPr>
        <w:t xml:space="preserve"> as described above will be full compensation for furnishing, transporting, </w:t>
      </w:r>
      <w:proofErr w:type="gramStart"/>
      <w:r w:rsidRPr="00E9282B">
        <w:rPr>
          <w:rFonts w:cs="Calibri"/>
          <w:color w:val="000000"/>
          <w:szCs w:val="20"/>
        </w:rPr>
        <w:t>handling,</w:t>
      </w:r>
      <w:proofErr w:type="gramEnd"/>
      <w:r w:rsidRPr="00E9282B">
        <w:rPr>
          <w:rFonts w:cs="Calibri"/>
          <w:color w:val="000000"/>
          <w:szCs w:val="20"/>
        </w:rPr>
        <w:t xml:space="preserve"> placing, compacting, and maintaining </w:t>
      </w:r>
      <w:r>
        <w:rPr>
          <w:rFonts w:cs="Calibri"/>
          <w:color w:val="000000"/>
          <w:szCs w:val="20"/>
        </w:rPr>
        <w:t>borrow</w:t>
      </w:r>
      <w:r w:rsidRPr="00E9282B">
        <w:rPr>
          <w:rFonts w:cs="Calibri"/>
          <w:color w:val="000000"/>
          <w:szCs w:val="20"/>
        </w:rPr>
        <w:t xml:space="preserve"> material.  Unless otherwise directed by the Engineer, there will be no separate payment for </w:t>
      </w:r>
      <w:r>
        <w:rPr>
          <w:rFonts w:cs="Calibri"/>
          <w:color w:val="000000"/>
          <w:szCs w:val="20"/>
        </w:rPr>
        <w:t xml:space="preserve">borrow </w:t>
      </w:r>
      <w:r w:rsidRPr="00E9282B">
        <w:rPr>
          <w:rFonts w:cs="Calibri"/>
          <w:color w:val="000000"/>
          <w:szCs w:val="20"/>
        </w:rPr>
        <w:t>material above the select bedding and backfill materials included in the cost of the installed pipe, which exceeds the following extents:</w:t>
      </w:r>
    </w:p>
    <w:p w14:paraId="6E329AAA" w14:textId="77777777" w:rsidR="0037603A" w:rsidRPr="0024667B" w:rsidRDefault="0037603A" w:rsidP="0037603A">
      <w:pPr>
        <w:autoSpaceDE w:val="0"/>
        <w:autoSpaceDN w:val="0"/>
        <w:adjustRightInd w:val="0"/>
        <w:ind w:left="1080"/>
        <w:rPr>
          <w:rFonts w:eastAsiaTheme="minorHAnsi" w:cs="Calibri"/>
          <w:color w:val="000000"/>
          <w:szCs w:val="20"/>
          <w:u w:val="single"/>
        </w:rPr>
      </w:pPr>
      <w:r w:rsidRPr="0024667B">
        <w:rPr>
          <w:rFonts w:eastAsiaTheme="minorHAnsi" w:cs="Calibri"/>
          <w:color w:val="000000"/>
          <w:szCs w:val="20"/>
          <w:u w:val="single"/>
        </w:rPr>
        <w:t xml:space="preserve">Storm Drainage </w:t>
      </w:r>
    </w:p>
    <w:p w14:paraId="60C72C5E" w14:textId="77777777" w:rsidR="0037603A" w:rsidRPr="0024667B" w:rsidRDefault="0037603A" w:rsidP="0037603A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1440"/>
        <w:rPr>
          <w:rFonts w:cs="Calibri"/>
          <w:color w:val="000000"/>
          <w:sz w:val="20"/>
          <w:szCs w:val="20"/>
        </w:rPr>
      </w:pPr>
      <w:r w:rsidRPr="0024667B">
        <w:rPr>
          <w:rFonts w:cs="Calibri"/>
          <w:color w:val="000000"/>
          <w:sz w:val="20"/>
          <w:szCs w:val="20"/>
        </w:rPr>
        <w:t xml:space="preserve">Pipe </w:t>
      </w:r>
    </w:p>
    <w:p w14:paraId="71026290" w14:textId="7BFD0605" w:rsidR="0037603A" w:rsidRPr="0024667B" w:rsidRDefault="0037603A" w:rsidP="0037603A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800"/>
        <w:rPr>
          <w:rFonts w:cs="Calibri"/>
          <w:color w:val="000000"/>
          <w:sz w:val="20"/>
          <w:szCs w:val="20"/>
        </w:rPr>
      </w:pPr>
      <w:r w:rsidRPr="0024667B">
        <w:rPr>
          <w:rFonts w:cs="Calibri"/>
          <w:color w:val="000000"/>
          <w:sz w:val="20"/>
          <w:szCs w:val="20"/>
        </w:rPr>
        <w:t xml:space="preserve">Horizontally – the outer diameter of the pipe plus three feet; </w:t>
      </w:r>
    </w:p>
    <w:p w14:paraId="038C290D" w14:textId="04E86061" w:rsidR="0037603A" w:rsidRPr="0024667B" w:rsidRDefault="0037603A" w:rsidP="0037603A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800"/>
        <w:rPr>
          <w:rFonts w:cs="Calibri"/>
          <w:color w:val="000000"/>
          <w:sz w:val="20"/>
          <w:szCs w:val="20"/>
        </w:rPr>
      </w:pPr>
      <w:r w:rsidRPr="0024667B">
        <w:rPr>
          <w:rFonts w:cs="Calibri"/>
          <w:color w:val="000000"/>
          <w:sz w:val="20"/>
          <w:szCs w:val="20"/>
        </w:rPr>
        <w:t>Vertically – from the top of the select backfill material to the ground line, as illustrated in NCDOT 300.01</w:t>
      </w:r>
      <w:r w:rsidR="00CA1163">
        <w:rPr>
          <w:rFonts w:cs="Calibri"/>
          <w:color w:val="000000"/>
          <w:sz w:val="20"/>
          <w:szCs w:val="20"/>
        </w:rPr>
        <w:t>;</w:t>
      </w:r>
      <w:r w:rsidRPr="0024667B">
        <w:rPr>
          <w:rFonts w:cs="Calibri"/>
          <w:color w:val="000000"/>
          <w:sz w:val="20"/>
          <w:szCs w:val="20"/>
        </w:rPr>
        <w:t xml:space="preserve"> </w:t>
      </w:r>
    </w:p>
    <w:p w14:paraId="330F7937" w14:textId="40B0C153" w:rsidR="0037603A" w:rsidRPr="0024667B" w:rsidRDefault="0037603A" w:rsidP="0037603A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1440"/>
        <w:rPr>
          <w:rFonts w:cs="Calibri"/>
          <w:color w:val="000000"/>
          <w:sz w:val="20"/>
          <w:szCs w:val="20"/>
        </w:rPr>
      </w:pPr>
      <w:r w:rsidRPr="0024667B">
        <w:rPr>
          <w:rFonts w:cs="Calibri"/>
          <w:color w:val="000000"/>
          <w:sz w:val="20"/>
          <w:szCs w:val="20"/>
        </w:rPr>
        <w:t xml:space="preserve">Box Culverts/Bends/Bottomless Culverts </w:t>
      </w:r>
    </w:p>
    <w:p w14:paraId="73AA143C" w14:textId="5F2A971F" w:rsidR="0037603A" w:rsidRPr="0024667B" w:rsidRDefault="0037603A" w:rsidP="0037603A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800"/>
        <w:rPr>
          <w:rFonts w:cs="Calibri"/>
          <w:color w:val="000000"/>
          <w:sz w:val="20"/>
          <w:szCs w:val="20"/>
        </w:rPr>
      </w:pPr>
      <w:r w:rsidRPr="0024667B">
        <w:rPr>
          <w:rFonts w:cs="Calibri"/>
          <w:color w:val="000000"/>
          <w:sz w:val="20"/>
          <w:szCs w:val="20"/>
        </w:rPr>
        <w:t xml:space="preserve">Horizontally – outer width of culvert or footer plus </w:t>
      </w:r>
      <w:r w:rsidR="00D678A5" w:rsidRPr="0024667B">
        <w:rPr>
          <w:rFonts w:cs="Calibri"/>
          <w:color w:val="000000"/>
          <w:sz w:val="20"/>
          <w:szCs w:val="20"/>
        </w:rPr>
        <w:t>six</w:t>
      </w:r>
      <w:r w:rsidRPr="0024667B">
        <w:rPr>
          <w:rFonts w:cs="Calibri"/>
          <w:color w:val="000000"/>
          <w:sz w:val="20"/>
          <w:szCs w:val="20"/>
        </w:rPr>
        <w:t xml:space="preserve"> feet (</w:t>
      </w:r>
      <w:r w:rsidR="00D678A5" w:rsidRPr="0024667B">
        <w:rPr>
          <w:rFonts w:cs="Calibri"/>
          <w:color w:val="000000"/>
          <w:sz w:val="20"/>
          <w:szCs w:val="20"/>
        </w:rPr>
        <w:t>three</w:t>
      </w:r>
      <w:r w:rsidRPr="0024667B">
        <w:rPr>
          <w:rFonts w:cs="Calibri"/>
          <w:color w:val="000000"/>
          <w:sz w:val="20"/>
          <w:szCs w:val="20"/>
        </w:rPr>
        <w:t xml:space="preserve"> feet each side); </w:t>
      </w:r>
    </w:p>
    <w:p w14:paraId="01B89B03" w14:textId="5432383E" w:rsidR="0037603A" w:rsidRPr="0024667B" w:rsidRDefault="0037603A" w:rsidP="0037603A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800"/>
        <w:rPr>
          <w:rFonts w:cs="Calibri"/>
          <w:color w:val="000000"/>
          <w:sz w:val="20"/>
          <w:szCs w:val="20"/>
        </w:rPr>
      </w:pPr>
      <w:r w:rsidRPr="0024667B">
        <w:rPr>
          <w:rFonts w:cs="Calibri"/>
          <w:color w:val="000000"/>
          <w:sz w:val="20"/>
          <w:szCs w:val="20"/>
        </w:rPr>
        <w:t xml:space="preserve">Vertically – </w:t>
      </w:r>
      <w:r w:rsidRPr="0024667B">
        <w:rPr>
          <w:rFonts w:ascii="Calibri" w:hAnsi="Calibri" w:cs="Calibri"/>
          <w:color w:val="000000"/>
          <w:sz w:val="20"/>
          <w:szCs w:val="20"/>
        </w:rPr>
        <w:t>from the top of the bedding material or bottom of the structure to the ground line</w:t>
      </w:r>
      <w:r w:rsidR="0057563F">
        <w:rPr>
          <w:rFonts w:ascii="Calibri" w:hAnsi="Calibri" w:cs="Calibri"/>
          <w:color w:val="000000"/>
          <w:sz w:val="20"/>
          <w:szCs w:val="20"/>
        </w:rPr>
        <w:t>, as illustrated in Figure 2</w:t>
      </w:r>
      <w:r w:rsidR="00CA1163">
        <w:rPr>
          <w:rFonts w:ascii="Calibri" w:hAnsi="Calibri" w:cs="Calibri"/>
          <w:color w:val="000000"/>
          <w:sz w:val="20"/>
          <w:szCs w:val="20"/>
        </w:rPr>
        <w:t xml:space="preserve">.1 of the </w:t>
      </w:r>
      <w:r w:rsidR="00CA1163">
        <w:rPr>
          <w:rFonts w:ascii="Calibri" w:hAnsi="Calibri" w:cs="Calibri"/>
          <w:i/>
          <w:color w:val="000000"/>
          <w:sz w:val="20"/>
          <w:szCs w:val="20"/>
        </w:rPr>
        <w:t xml:space="preserve">Precast Reinforced Concrete Culvert </w:t>
      </w:r>
      <w:r w:rsidR="0057563F">
        <w:rPr>
          <w:rFonts w:ascii="Calibri" w:hAnsi="Calibri" w:cs="Calibri"/>
          <w:color w:val="000000"/>
          <w:sz w:val="20"/>
          <w:szCs w:val="20"/>
        </w:rPr>
        <w:t>Sp</w:t>
      </w:r>
      <w:r w:rsidR="00CA1163">
        <w:rPr>
          <w:rFonts w:ascii="Calibri" w:hAnsi="Calibri" w:cs="Calibri"/>
          <w:color w:val="000000"/>
          <w:sz w:val="20"/>
          <w:szCs w:val="20"/>
        </w:rPr>
        <w:t xml:space="preserve">ecial </w:t>
      </w:r>
      <w:r w:rsidR="0057563F">
        <w:rPr>
          <w:rFonts w:ascii="Calibri" w:hAnsi="Calibri" w:cs="Calibri"/>
          <w:color w:val="000000"/>
          <w:sz w:val="20"/>
          <w:szCs w:val="20"/>
        </w:rPr>
        <w:t>P</w:t>
      </w:r>
      <w:r w:rsidR="00CA1163">
        <w:rPr>
          <w:rFonts w:ascii="Calibri" w:hAnsi="Calibri" w:cs="Calibri"/>
          <w:color w:val="000000"/>
          <w:sz w:val="20"/>
          <w:szCs w:val="20"/>
        </w:rPr>
        <w:t>rovision</w:t>
      </w:r>
      <w:r w:rsidRPr="0024667B">
        <w:rPr>
          <w:rFonts w:cs="Calibri"/>
          <w:color w:val="000000"/>
          <w:sz w:val="20"/>
          <w:szCs w:val="20"/>
        </w:rPr>
        <w:t xml:space="preserve">; </w:t>
      </w:r>
    </w:p>
    <w:p w14:paraId="283B4D7D" w14:textId="77777777" w:rsidR="0037603A" w:rsidRPr="0024667B" w:rsidRDefault="0037603A" w:rsidP="0037603A">
      <w:pPr>
        <w:autoSpaceDE w:val="0"/>
        <w:autoSpaceDN w:val="0"/>
        <w:adjustRightInd w:val="0"/>
        <w:ind w:left="1080"/>
        <w:rPr>
          <w:rFonts w:eastAsiaTheme="minorHAnsi" w:cs="Calibri"/>
          <w:color w:val="000000"/>
          <w:szCs w:val="20"/>
        </w:rPr>
      </w:pPr>
      <w:r w:rsidRPr="0024667B">
        <w:rPr>
          <w:rFonts w:eastAsiaTheme="minorHAnsi" w:cs="Calibri"/>
          <w:color w:val="000000"/>
          <w:szCs w:val="20"/>
          <w:u w:val="single"/>
        </w:rPr>
        <w:t>Structures</w:t>
      </w:r>
      <w:r w:rsidRPr="0024667B">
        <w:rPr>
          <w:rFonts w:eastAsiaTheme="minorHAnsi" w:cs="Calibri"/>
          <w:color w:val="000000"/>
          <w:szCs w:val="20"/>
        </w:rPr>
        <w:t xml:space="preserve"> </w:t>
      </w:r>
    </w:p>
    <w:p w14:paraId="061870A8" w14:textId="76FEFE33" w:rsidR="0037603A" w:rsidRPr="0024667B" w:rsidRDefault="0037603A" w:rsidP="0037603A">
      <w:pPr>
        <w:autoSpaceDE w:val="0"/>
        <w:autoSpaceDN w:val="0"/>
        <w:adjustRightInd w:val="0"/>
        <w:ind w:left="1080"/>
        <w:rPr>
          <w:rFonts w:eastAsiaTheme="minorHAnsi" w:cs="Calibri"/>
          <w:color w:val="000000"/>
          <w:szCs w:val="20"/>
        </w:rPr>
      </w:pPr>
      <w:r w:rsidRPr="0024667B">
        <w:rPr>
          <w:rFonts w:eastAsiaTheme="minorHAnsi" w:cs="Calibri"/>
          <w:color w:val="000000"/>
          <w:szCs w:val="20"/>
        </w:rPr>
        <w:t xml:space="preserve">(Includes but not limited to: headwalls, drainage structures (catch basins, drop inlets, risers, etc.), flared end sections, retaining walls, etc.) </w:t>
      </w:r>
    </w:p>
    <w:p w14:paraId="72A69201" w14:textId="77616166" w:rsidR="0037603A" w:rsidRPr="0024667B" w:rsidRDefault="00D678A5" w:rsidP="0037603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40"/>
        <w:rPr>
          <w:rFonts w:cs="Calibri"/>
          <w:color w:val="000000"/>
          <w:sz w:val="20"/>
          <w:szCs w:val="20"/>
        </w:rPr>
      </w:pPr>
      <w:r w:rsidRPr="0024667B">
        <w:rPr>
          <w:rFonts w:cs="Calibri"/>
          <w:color w:val="000000"/>
          <w:sz w:val="20"/>
          <w:szCs w:val="20"/>
        </w:rPr>
        <w:t>Vertically – t</w:t>
      </w:r>
      <w:r w:rsidR="0037603A" w:rsidRPr="0024667B">
        <w:rPr>
          <w:rFonts w:cs="Calibri"/>
          <w:color w:val="000000"/>
          <w:sz w:val="20"/>
          <w:szCs w:val="20"/>
        </w:rPr>
        <w:t xml:space="preserve">o the </w:t>
      </w:r>
      <w:r w:rsidRPr="0024667B">
        <w:rPr>
          <w:rFonts w:cs="Calibri"/>
          <w:color w:val="000000"/>
          <w:sz w:val="20"/>
          <w:szCs w:val="20"/>
        </w:rPr>
        <w:t>ground line</w:t>
      </w:r>
      <w:r w:rsidR="0037603A" w:rsidRPr="0024667B">
        <w:rPr>
          <w:rFonts w:cs="Calibri"/>
          <w:color w:val="000000"/>
          <w:sz w:val="20"/>
          <w:szCs w:val="20"/>
        </w:rPr>
        <w:t xml:space="preserve"> elevation as shown on the plans or details; </w:t>
      </w:r>
    </w:p>
    <w:p w14:paraId="7B3C1A4F" w14:textId="71BDB56A" w:rsidR="0037603A" w:rsidRPr="0024667B" w:rsidRDefault="0037603A" w:rsidP="0037603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40"/>
        <w:rPr>
          <w:rFonts w:cs="Calibri"/>
          <w:color w:val="000000"/>
          <w:sz w:val="20"/>
          <w:szCs w:val="20"/>
        </w:rPr>
      </w:pPr>
      <w:r w:rsidRPr="0024667B">
        <w:rPr>
          <w:rFonts w:cs="Calibri"/>
          <w:color w:val="000000"/>
          <w:sz w:val="20"/>
          <w:szCs w:val="20"/>
        </w:rPr>
        <w:t xml:space="preserve">Horizontally – two (2) feet from each exterior surface (outer </w:t>
      </w:r>
      <w:r w:rsidR="00D678A5" w:rsidRPr="0024667B">
        <w:rPr>
          <w:rFonts w:cs="Calibri"/>
          <w:color w:val="000000"/>
          <w:sz w:val="20"/>
          <w:szCs w:val="20"/>
        </w:rPr>
        <w:t>wall of the structure or footer whichever is further</w:t>
      </w:r>
      <w:r w:rsidRPr="0024667B">
        <w:rPr>
          <w:rFonts w:cs="Calibri"/>
          <w:color w:val="000000"/>
          <w:sz w:val="20"/>
          <w:szCs w:val="20"/>
        </w:rPr>
        <w:t xml:space="preserve">) </w:t>
      </w:r>
    </w:p>
    <w:p w14:paraId="08C5ED55" w14:textId="77777777" w:rsidR="00E11A03" w:rsidRPr="00E11A03" w:rsidRDefault="00E11A03" w:rsidP="00E11A03">
      <w:pPr>
        <w:autoSpaceDE w:val="0"/>
        <w:autoSpaceDN w:val="0"/>
        <w:adjustRightInd w:val="0"/>
        <w:ind w:left="1080"/>
        <w:rPr>
          <w:rFonts w:eastAsiaTheme="minorHAnsi" w:cs="Calibri"/>
          <w:color w:val="000000"/>
          <w:szCs w:val="20"/>
        </w:rPr>
      </w:pPr>
    </w:p>
    <w:p w14:paraId="629F6488" w14:textId="77777777" w:rsidR="00781A65" w:rsidRPr="00E9282B" w:rsidRDefault="00781A65" w:rsidP="00781A65">
      <w:pPr>
        <w:autoSpaceDE w:val="0"/>
        <w:autoSpaceDN w:val="0"/>
        <w:adjustRightInd w:val="0"/>
        <w:rPr>
          <w:rFonts w:cs="Calibri"/>
          <w:color w:val="000000"/>
          <w:szCs w:val="20"/>
        </w:rPr>
      </w:pPr>
      <w:r w:rsidRPr="00E9282B">
        <w:rPr>
          <w:rFonts w:cs="Calibri"/>
          <w:color w:val="000000"/>
          <w:szCs w:val="20"/>
        </w:rPr>
        <w:t xml:space="preserve">Material used for the contractor’s means and methods outside of these trench limits </w:t>
      </w:r>
      <w:r>
        <w:rPr>
          <w:rFonts w:cs="Calibri"/>
          <w:color w:val="000000"/>
          <w:szCs w:val="20"/>
        </w:rPr>
        <w:t xml:space="preserve">shall meet the material requirement and </w:t>
      </w:r>
      <w:r w:rsidRPr="00E9282B">
        <w:rPr>
          <w:rFonts w:cs="Calibri"/>
          <w:color w:val="000000"/>
          <w:szCs w:val="20"/>
        </w:rPr>
        <w:t>will be at the contractor’s expense.</w:t>
      </w:r>
    </w:p>
    <w:p w14:paraId="629F6489" w14:textId="77777777" w:rsidR="00666EC7" w:rsidRPr="004809E0" w:rsidRDefault="00666EC7" w:rsidP="00666EC7">
      <w:pPr>
        <w:tabs>
          <w:tab w:val="left" w:pos="720"/>
          <w:tab w:val="left" w:pos="1440"/>
          <w:tab w:val="right" w:leader="dot" w:pos="9360"/>
        </w:tabs>
        <w:rPr>
          <w:szCs w:val="20"/>
        </w:rPr>
      </w:pPr>
    </w:p>
    <w:p w14:paraId="629F648A" w14:textId="77777777" w:rsidR="00666EC7" w:rsidRPr="004809E0" w:rsidRDefault="00666EC7" w:rsidP="00666EC7">
      <w:pPr>
        <w:tabs>
          <w:tab w:val="left" w:pos="-720"/>
          <w:tab w:val="left" w:pos="720"/>
          <w:tab w:val="left" w:pos="1440"/>
          <w:tab w:val="right" w:leader="dot" w:pos="9360"/>
        </w:tabs>
        <w:rPr>
          <w:szCs w:val="20"/>
        </w:rPr>
      </w:pPr>
      <w:r w:rsidRPr="004809E0">
        <w:rPr>
          <w:szCs w:val="20"/>
        </w:rPr>
        <w:t>Payment will be made under:</w:t>
      </w:r>
    </w:p>
    <w:p w14:paraId="629F648B" w14:textId="77777777" w:rsidR="00666EC7" w:rsidRPr="004809E0" w:rsidRDefault="00666EC7" w:rsidP="00666EC7">
      <w:pPr>
        <w:tabs>
          <w:tab w:val="left" w:pos="720"/>
          <w:tab w:val="left" w:pos="1440"/>
          <w:tab w:val="right" w:leader="dot" w:pos="9360"/>
        </w:tabs>
        <w:rPr>
          <w:szCs w:val="20"/>
        </w:rPr>
      </w:pPr>
    </w:p>
    <w:p w14:paraId="629F648C" w14:textId="77777777" w:rsidR="00666EC7" w:rsidRPr="00A4000A" w:rsidRDefault="00666EC7" w:rsidP="00666EC7">
      <w:pPr>
        <w:tabs>
          <w:tab w:val="left" w:pos="720"/>
          <w:tab w:val="left" w:pos="1440"/>
          <w:tab w:val="right" w:leader="dot" w:pos="9360"/>
        </w:tabs>
        <w:rPr>
          <w:b/>
          <w:szCs w:val="20"/>
        </w:rPr>
      </w:pPr>
      <w:r w:rsidRPr="00A4000A">
        <w:rPr>
          <w:b/>
          <w:szCs w:val="20"/>
        </w:rPr>
        <w:t>BORROW EXCAVATION</w:t>
      </w:r>
      <w:r w:rsidRPr="00666EC7">
        <w:rPr>
          <w:b/>
          <w:szCs w:val="20"/>
        </w:rPr>
        <w:t xml:space="preserve"> </w:t>
      </w:r>
      <w:r w:rsidRPr="00A4000A">
        <w:rPr>
          <w:b/>
          <w:szCs w:val="20"/>
        </w:rPr>
        <w:tab/>
        <w:t>CY</w:t>
      </w:r>
    </w:p>
    <w:p w14:paraId="629F648D" w14:textId="77777777" w:rsidR="00EE7CAD" w:rsidRDefault="00EE7CAD" w:rsidP="00666EC7"/>
    <w:sectPr w:rsidR="00EE7CAD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9" w:author="skhan" w:date="2013-04-30T16:16:00Z" w:initials="smk">
    <w:p w14:paraId="629F648E" w14:textId="77777777" w:rsidR="006E6508" w:rsidRDefault="006E6508" w:rsidP="006E6508">
      <w:pPr>
        <w:pStyle w:val="CommentText"/>
        <w:rPr>
          <w:b/>
        </w:rPr>
      </w:pPr>
      <w:r>
        <w:rPr>
          <w:rStyle w:val="CommentReference"/>
        </w:rPr>
        <w:annotationRef/>
      </w:r>
    </w:p>
    <w:p w14:paraId="629F648F" w14:textId="77777777" w:rsidR="006E6508" w:rsidRDefault="006E6508" w:rsidP="006E6508">
      <w:pPr>
        <w:pStyle w:val="CommentText"/>
        <w:rPr>
          <w:b/>
        </w:rPr>
      </w:pPr>
    </w:p>
    <w:p w14:paraId="629F6490" w14:textId="77777777" w:rsidR="006E6508" w:rsidRDefault="006E6508" w:rsidP="006E6508">
      <w:pPr>
        <w:pStyle w:val="CommentText"/>
      </w:pPr>
      <w:r w:rsidRPr="000F545C">
        <w:rPr>
          <w:b/>
        </w:rPr>
        <w:t>Eng. Services (Bryan Tarlton Group</w:t>
      </w:r>
      <w:r>
        <w:t>) – Delete the whole SP-4 Borrow Excavation</w:t>
      </w:r>
      <w:r w:rsidR="002B1F47">
        <w:t xml:space="preserve"> unless it is considered as separate pay item. Typically, </w:t>
      </w:r>
      <w:r w:rsidR="001B5E11">
        <w:t xml:space="preserve">for Eng. </w:t>
      </w:r>
      <w:proofErr w:type="gramStart"/>
      <w:r w:rsidR="001B5E11">
        <w:t>Services ,</w:t>
      </w:r>
      <w:proofErr w:type="gramEnd"/>
      <w:r w:rsidR="001B5E11">
        <w:t xml:space="preserve"> </w:t>
      </w:r>
      <w:r>
        <w:t xml:space="preserve">Borrow Excavation is included under SP-1 Comprehensive Grading </w:t>
      </w:r>
    </w:p>
    <w:p w14:paraId="629F6491" w14:textId="77777777" w:rsidR="006E6508" w:rsidRDefault="006E6508" w:rsidP="006E6508">
      <w:pPr>
        <w:pStyle w:val="CommentText"/>
      </w:pPr>
    </w:p>
    <w:p w14:paraId="629F6492" w14:textId="77777777" w:rsidR="006E6508" w:rsidRDefault="006E6508" w:rsidP="006E6508">
      <w:pPr>
        <w:pStyle w:val="CommentText"/>
      </w:pPr>
      <w:r w:rsidRPr="000F545C">
        <w:rPr>
          <w:b/>
        </w:rPr>
        <w:t>SWS Services (Susan Tolan Group)</w:t>
      </w:r>
      <w:r>
        <w:t xml:space="preserve"> – Keep as it is.</w:t>
      </w:r>
    </w:p>
    <w:p w14:paraId="629F6493" w14:textId="77777777" w:rsidR="006E6508" w:rsidRDefault="006E6508">
      <w:pPr>
        <w:pStyle w:val="CommentText"/>
      </w:pPr>
    </w:p>
  </w:comment>
  <w:comment w:id="11" w:author="cbotkin" w:date="2015-05-22T11:58:00Z" w:initials="c">
    <w:p w14:paraId="33131FAA" w14:textId="77777777" w:rsidR="00936617" w:rsidRDefault="00936617" w:rsidP="00936617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t xml:space="preserve">Version Date is the last date the City revised the SP.  </w:t>
      </w:r>
    </w:p>
    <w:p w14:paraId="7FB29DF0" w14:textId="77777777" w:rsidR="00936617" w:rsidRDefault="00936617" w:rsidP="00936617">
      <w:pPr>
        <w:pStyle w:val="CommentText"/>
      </w:pPr>
      <w:r>
        <w:t xml:space="preserve">Revision Date is the last date that the SP was revised for project specific needs, and is only relevant to the project.  </w:t>
      </w:r>
    </w:p>
    <w:p w14:paraId="0261F096" w14:textId="77777777" w:rsidR="00936617" w:rsidRDefault="00936617" w:rsidP="00936617">
      <w:pPr>
        <w:pStyle w:val="CommentText"/>
      </w:pPr>
      <w:r>
        <w:t>If the original is revised for the project, add a revision date, initials of Engineer, and place an R after the SP # in the project manual (Ex. SP-9R).</w:t>
      </w:r>
    </w:p>
    <w:p w14:paraId="0257494B" w14:textId="77777777" w:rsidR="00936617" w:rsidRDefault="00936617" w:rsidP="00936617">
      <w:pPr>
        <w:pStyle w:val="CommentText"/>
      </w:pPr>
      <w:r>
        <w:t>Leave the Revision Date blank if no project specific changes were required by the Engineer.</w:t>
      </w:r>
    </w:p>
    <w:p w14:paraId="69A36876" w14:textId="77777777" w:rsidR="00936617" w:rsidRDefault="00936617" w:rsidP="00936617">
      <w:pPr>
        <w:pStyle w:val="CommentText"/>
      </w:pP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29F649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D9AF9E" w14:textId="77777777" w:rsidR="00C4252F" w:rsidRDefault="00C4252F" w:rsidP="00FF1898">
      <w:r>
        <w:separator/>
      </w:r>
    </w:p>
  </w:endnote>
  <w:endnote w:type="continuationSeparator" w:id="0">
    <w:p w14:paraId="39CB752B" w14:textId="77777777" w:rsidR="00C4252F" w:rsidRDefault="00C4252F" w:rsidP="00FF1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3E2D87" w14:textId="77777777" w:rsidR="00C4252F" w:rsidRDefault="00C4252F" w:rsidP="00FF1898">
      <w:r>
        <w:separator/>
      </w:r>
    </w:p>
  </w:footnote>
  <w:footnote w:type="continuationSeparator" w:id="0">
    <w:p w14:paraId="117AC834" w14:textId="77777777" w:rsidR="00C4252F" w:rsidRDefault="00C4252F" w:rsidP="00FF18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9F6498" w14:textId="77777777" w:rsidR="00FF1898" w:rsidRDefault="00FF1898">
    <w:pPr>
      <w:pStyle w:val="Header"/>
    </w:pPr>
  </w:p>
  <w:p w14:paraId="629F6499" w14:textId="77777777" w:rsidR="00FF1898" w:rsidRDefault="00FF18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84BB9"/>
    <w:multiLevelType w:val="multilevel"/>
    <w:tmpl w:val="7DA0E20A"/>
    <w:lvl w:ilvl="0">
      <w:start w:val="1"/>
      <w:numFmt w:val="decimal"/>
      <w:lvlText w:val="%1.0"/>
      <w:lvlJc w:val="left"/>
      <w:pPr>
        <w:ind w:left="720" w:hanging="720"/>
      </w:pPr>
      <w:rPr>
        <w:rFonts w:eastAsia="Times New Roman" w:cs="Times New Roman"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eastAsia="Times New Roman" w:cs="Times New Roman" w:hint="default"/>
      </w:rPr>
    </w:lvl>
  </w:abstractNum>
  <w:abstractNum w:abstractNumId="1">
    <w:nsid w:val="51992B06"/>
    <w:multiLevelType w:val="hybridMultilevel"/>
    <w:tmpl w:val="9EC0C8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61461895"/>
    <w:multiLevelType w:val="hybridMultilevel"/>
    <w:tmpl w:val="A59E21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EC7"/>
    <w:rsid w:val="001B5E11"/>
    <w:rsid w:val="0024667B"/>
    <w:rsid w:val="002B1F47"/>
    <w:rsid w:val="0037603A"/>
    <w:rsid w:val="0057563F"/>
    <w:rsid w:val="00666EC7"/>
    <w:rsid w:val="006E086A"/>
    <w:rsid w:val="006E6508"/>
    <w:rsid w:val="007653F6"/>
    <w:rsid w:val="00781A65"/>
    <w:rsid w:val="00936617"/>
    <w:rsid w:val="0094684E"/>
    <w:rsid w:val="00B522AF"/>
    <w:rsid w:val="00C4252F"/>
    <w:rsid w:val="00CA1163"/>
    <w:rsid w:val="00D678A5"/>
    <w:rsid w:val="00E11A03"/>
    <w:rsid w:val="00EE7CAD"/>
    <w:rsid w:val="00F908E3"/>
    <w:rsid w:val="00FF1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F64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EC7"/>
    <w:pPr>
      <w:spacing w:after="0" w:line="240" w:lineRule="auto"/>
    </w:pPr>
    <w:rPr>
      <w:rFonts w:ascii="Calibri" w:eastAsia="Times New Roman" w:hAnsi="Calibri" w:cs="Times New Roman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1163"/>
    <w:pPr>
      <w:keepNext/>
      <w:keepLines/>
      <w:spacing w:before="240"/>
      <w:outlineLvl w:val="0"/>
    </w:pPr>
    <w:rPr>
      <w:rFonts w:eastAsiaTheme="majorEastAsia" w:cstheme="majorBidi"/>
      <w:b/>
      <w:caps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116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666EC7"/>
    <w:pPr>
      <w:keepNext/>
      <w:outlineLvl w:val="3"/>
    </w:pPr>
    <w:rPr>
      <w:b/>
      <w:bCs/>
      <w:sz w:val="22"/>
      <w:szCs w:val="28"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A116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666EC7"/>
    <w:rPr>
      <w:rFonts w:ascii="Calibri" w:eastAsia="Times New Roman" w:hAnsi="Calibri" w:cs="Times New Roman"/>
      <w:b/>
      <w:bCs/>
      <w:szCs w:val="28"/>
      <w:u w:val="single"/>
    </w:rPr>
  </w:style>
  <w:style w:type="paragraph" w:styleId="ListParagraph">
    <w:name w:val="List Paragraph"/>
    <w:basedOn w:val="Normal"/>
    <w:uiPriority w:val="34"/>
    <w:qFormat/>
    <w:rsid w:val="00781A6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styleId="Header">
    <w:name w:val="header"/>
    <w:basedOn w:val="Normal"/>
    <w:link w:val="HeaderChar"/>
    <w:uiPriority w:val="99"/>
    <w:unhideWhenUsed/>
    <w:rsid w:val="00FF18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1898"/>
    <w:rPr>
      <w:rFonts w:ascii="Calibri" w:eastAsia="Times New Roman" w:hAnsi="Calibri" w:cs="Times New Roman"/>
      <w:sz w:val="20"/>
    </w:rPr>
  </w:style>
  <w:style w:type="paragraph" w:styleId="Footer">
    <w:name w:val="footer"/>
    <w:basedOn w:val="Normal"/>
    <w:link w:val="FooterChar"/>
    <w:uiPriority w:val="99"/>
    <w:unhideWhenUsed/>
    <w:rsid w:val="00FF18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1898"/>
    <w:rPr>
      <w:rFonts w:ascii="Calibri" w:eastAsia="Times New Roman" w:hAnsi="Calibri" w:cs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18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898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unhideWhenUsed/>
    <w:rsid w:val="00FF18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F189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1898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18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1898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CA1163"/>
    <w:rPr>
      <w:rFonts w:asciiTheme="majorHAnsi" w:eastAsiaTheme="majorEastAsia" w:hAnsiTheme="majorHAnsi" w:cstheme="majorBidi"/>
      <w:color w:val="365F91" w:themeColor="accent1" w:themeShade="BF"/>
      <w:sz w:val="20"/>
    </w:rPr>
  </w:style>
  <w:style w:type="character" w:customStyle="1" w:styleId="Heading2Char">
    <w:name w:val="Heading 2 Char"/>
    <w:basedOn w:val="DefaultParagraphFont"/>
    <w:link w:val="Heading2"/>
    <w:uiPriority w:val="9"/>
    <w:rsid w:val="00CA116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A1163"/>
    <w:rPr>
      <w:rFonts w:ascii="Calibri" w:eastAsiaTheme="majorEastAsia" w:hAnsi="Calibri" w:cstheme="majorBidi"/>
      <w:b/>
      <w:caps/>
      <w:sz w:val="20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EC7"/>
    <w:pPr>
      <w:spacing w:after="0" w:line="240" w:lineRule="auto"/>
    </w:pPr>
    <w:rPr>
      <w:rFonts w:ascii="Calibri" w:eastAsia="Times New Roman" w:hAnsi="Calibri" w:cs="Times New Roman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1163"/>
    <w:pPr>
      <w:keepNext/>
      <w:keepLines/>
      <w:spacing w:before="240"/>
      <w:outlineLvl w:val="0"/>
    </w:pPr>
    <w:rPr>
      <w:rFonts w:eastAsiaTheme="majorEastAsia" w:cstheme="majorBidi"/>
      <w:b/>
      <w:caps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116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666EC7"/>
    <w:pPr>
      <w:keepNext/>
      <w:outlineLvl w:val="3"/>
    </w:pPr>
    <w:rPr>
      <w:b/>
      <w:bCs/>
      <w:sz w:val="22"/>
      <w:szCs w:val="28"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A116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666EC7"/>
    <w:rPr>
      <w:rFonts w:ascii="Calibri" w:eastAsia="Times New Roman" w:hAnsi="Calibri" w:cs="Times New Roman"/>
      <w:b/>
      <w:bCs/>
      <w:szCs w:val="28"/>
      <w:u w:val="single"/>
    </w:rPr>
  </w:style>
  <w:style w:type="paragraph" w:styleId="ListParagraph">
    <w:name w:val="List Paragraph"/>
    <w:basedOn w:val="Normal"/>
    <w:uiPriority w:val="34"/>
    <w:qFormat/>
    <w:rsid w:val="00781A6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styleId="Header">
    <w:name w:val="header"/>
    <w:basedOn w:val="Normal"/>
    <w:link w:val="HeaderChar"/>
    <w:uiPriority w:val="99"/>
    <w:unhideWhenUsed/>
    <w:rsid w:val="00FF18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1898"/>
    <w:rPr>
      <w:rFonts w:ascii="Calibri" w:eastAsia="Times New Roman" w:hAnsi="Calibri" w:cs="Times New Roman"/>
      <w:sz w:val="20"/>
    </w:rPr>
  </w:style>
  <w:style w:type="paragraph" w:styleId="Footer">
    <w:name w:val="footer"/>
    <w:basedOn w:val="Normal"/>
    <w:link w:val="FooterChar"/>
    <w:uiPriority w:val="99"/>
    <w:unhideWhenUsed/>
    <w:rsid w:val="00FF18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1898"/>
    <w:rPr>
      <w:rFonts w:ascii="Calibri" w:eastAsia="Times New Roman" w:hAnsi="Calibri" w:cs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18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898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unhideWhenUsed/>
    <w:rsid w:val="00FF18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F189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1898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18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1898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CA1163"/>
    <w:rPr>
      <w:rFonts w:asciiTheme="majorHAnsi" w:eastAsiaTheme="majorEastAsia" w:hAnsiTheme="majorHAnsi" w:cstheme="majorBidi"/>
      <w:color w:val="365F91" w:themeColor="accent1" w:themeShade="BF"/>
      <w:sz w:val="20"/>
    </w:rPr>
  </w:style>
  <w:style w:type="character" w:customStyle="1" w:styleId="Heading2Char">
    <w:name w:val="Heading 2 Char"/>
    <w:basedOn w:val="DefaultParagraphFont"/>
    <w:link w:val="Heading2"/>
    <w:uiPriority w:val="9"/>
    <w:rsid w:val="00CA116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A1163"/>
    <w:rPr>
      <w:rFonts w:ascii="Calibri" w:eastAsiaTheme="majorEastAsia" w:hAnsi="Calibri" w:cstheme="majorBidi"/>
      <w:b/>
      <w:caps/>
      <w:sz w:val="2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7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comments" Target="comments.xml"/><Relationship Id="rId2" Type="http://schemas.openxmlformats.org/officeDocument/2006/relationships/customXml" Target="../customXml/item2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14" Type="http://schemas.openxmlformats.org/officeDocument/2006/relationships/fontTable" Target="fontTable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BE502D274A1F4B9F42157C14893527" ma:contentTypeVersion="0" ma:contentTypeDescription="Create a new document." ma:contentTypeScope="" ma:versionID="9bd8613e88ced2f71e018d1203c317cf">
  <xsd:schema xmlns:xsd="http://www.w3.org/2001/XMLSchema" xmlns:xs="http://www.w3.org/2001/XMLSchema" xmlns:p="http://schemas.microsoft.com/office/2006/metadata/properties" xmlns:ns2="9d66da04-0ef8-41fb-8fca-633943dba471" xmlns:ns3="abc8540b-28ed-43d2-87f5-bac9027946b5" targetNamespace="http://schemas.microsoft.com/office/2006/metadata/properties" ma:root="true" ma:fieldsID="abb9710e89a28a8919062549ee17059d" ns2:_="" ns3:_="">
    <xsd:import namespace="9d66da04-0ef8-41fb-8fca-633943dba471"/>
    <xsd:import namespace="abc8540b-28ed-43d2-87f5-bac9027946b5"/>
    <xsd:element name="properties">
      <xsd:complexType>
        <xsd:sequence>
          <xsd:element name="documentManagement">
            <xsd:complexType>
              <xsd:all>
                <xsd:element ref="ns2:Publish_x0020_date" minOccurs="0"/>
                <xsd:element ref="ns3:City_x0020_item_x0020_code" minOccurs="0"/>
                <xsd:element ref="ns3:Document_x0020_type" minOccurs="0"/>
                <xsd:element ref="ns3:Area" minOccurs="0"/>
                <xsd:element ref="ns3:Division" minOccurs="0"/>
                <xsd:element ref="ns3:Category" minOccurs="0"/>
                <xsd:element ref="ns3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66da04-0ef8-41fb-8fca-633943dba471" elementFormDefault="qualified">
    <xsd:import namespace="http://schemas.microsoft.com/office/2006/documentManagement/types"/>
    <xsd:import namespace="http://schemas.microsoft.com/office/infopath/2007/PartnerControls"/>
    <xsd:element name="Publish_x0020_date" ma:index="2" nillable="true" ma:displayName="Publish date" ma:default="[today]" ma:description="Date and/or time an item is published; used mostly for sorting purposes" ma:format="DateTime" ma:internalName="Publish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c8540b-28ed-43d2-87f5-bac9027946b5" elementFormDefault="qualified">
    <xsd:import namespace="http://schemas.microsoft.com/office/2006/documentManagement/types"/>
    <xsd:import namespace="http://schemas.microsoft.com/office/infopath/2007/PartnerControls"/>
    <xsd:element name="City_x0020_item_x0020_code" ma:index="3" nillable="true" ma:displayName="City item code" ma:internalName="City_x0020_item_x0020_code">
      <xsd:simpleType>
        <xsd:restriction base="dms:Text">
          <xsd:maxLength value="255"/>
        </xsd:restriction>
      </xsd:simpleType>
    </xsd:element>
    <xsd:element name="Document_x0020_type" ma:index="4" nillable="true" ma:displayName="Document type" ma:default="Specification" ma:format="Dropdown" ma:internalName="Document_x0020_type">
      <xsd:simpleType>
        <xsd:restriction base="dms:Choice">
          <xsd:enumeration value="Specification"/>
          <xsd:enumeration value="Details"/>
        </xsd:restriction>
      </xsd:simpleType>
    </xsd:element>
    <xsd:element name="Area" ma:index="5" nillable="true" ma:displayName="Area" ma:internalName="Area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ngineering Services"/>
                    <xsd:enumeration value="Land Development"/>
                    <xsd:enumeration value="Landscape Management"/>
                    <xsd:enumeration value="Storm Water"/>
                  </xsd:restriction>
                </xsd:simpleType>
              </xsd:element>
            </xsd:sequence>
          </xsd:extension>
        </xsd:complexContent>
      </xsd:complexType>
    </xsd:element>
    <xsd:element name="Division" ma:index="6" nillable="true" ma:displayName="Division" ma:format="Dropdown" ma:internalName="Division">
      <xsd:simpleType>
        <xsd:restriction base="dms:Choice">
          <xsd:enumeration value="State"/>
          <xsd:enumeration value="Utilities"/>
          <xsd:enumeration value="Landscape Management"/>
          <xsd:enumeration value="Streams and Wetlands"/>
          <xsd:enumeration value="Ponds and BMPs"/>
          <xsd:enumeration value="Construction"/>
          <xsd:enumeration value="Flood Control"/>
        </xsd:restriction>
      </xsd:simpleType>
    </xsd:element>
    <xsd:element name="Category" ma:index="7" nillable="true" ma:displayName="Category" ma:format="Dropdown" ma:internalName="Category">
      <xsd:simpleType>
        <xsd:restriction base="dms:Choice">
          <xsd:enumeration value="Flood control"/>
          <xsd:enumeration value="Water quality enhancement"/>
          <xsd:enumeration value="Stream restoration"/>
        </xsd:restriction>
      </xsd:simpleType>
    </xsd:element>
    <xsd:element name="Comments" ma:index="8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vision xmlns="abc8540b-28ed-43d2-87f5-bac9027946b5" xsi:nil="true"/>
    <Area xmlns="abc8540b-28ed-43d2-87f5-bac9027946b5"/>
    <Category xmlns="abc8540b-28ed-43d2-87f5-bac9027946b5" xsi:nil="true"/>
    <City_x0020_item_x0020_code xmlns="abc8540b-28ed-43d2-87f5-bac9027946b5" xsi:nil="true"/>
    <Publish_x0020_date xmlns="9d66da04-0ef8-41fb-8fca-633943dba471">2016-05-03T19:50:28+00:00</Publish_x0020_date>
    <Document_x0020_type xmlns="abc8540b-28ed-43d2-87f5-bac9027946b5">Specification</Document_x0020_type>
    <Comments xmlns="abc8540b-28ed-43d2-87f5-bac9027946b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fa60db12-2b6a-4eb8-baad-584f0c7a05b3" ContentTypeId="0x0101" PreviousValue="false"/>
</file>

<file path=customXml/itemProps1.xml><?xml version="1.0" encoding="utf-8"?>
<ds:datastoreItem xmlns:ds="http://schemas.openxmlformats.org/officeDocument/2006/customXml" ds:itemID="{2C94C815-08E8-4E57-9DBB-47D534B44BCF}"/>
</file>

<file path=customXml/itemProps2.xml><?xml version="1.0" encoding="utf-8"?>
<ds:datastoreItem xmlns:ds="http://schemas.openxmlformats.org/officeDocument/2006/customXml" ds:itemID="{17828685-5A62-41DF-AA77-87F39CB24DFC}"/>
</file>

<file path=customXml/itemProps3.xml><?xml version="1.0" encoding="utf-8"?>
<ds:datastoreItem xmlns:ds="http://schemas.openxmlformats.org/officeDocument/2006/customXml" ds:itemID="{930E34E7-1788-40FC-91DC-32C320517F80}"/>
</file>

<file path=customXml/itemProps4.xml><?xml version="1.0" encoding="utf-8"?>
<ds:datastoreItem xmlns:ds="http://schemas.openxmlformats.org/officeDocument/2006/customXml" ds:itemID="{B435FD83-B3AF-4FE6-8DB8-95D5542A58FD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2115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SP-4 Borrow Excavation Final (04-30-13)</vt:lpstr>
    </vt:vector>
  </TitlesOfParts>
  <Company>City of Charlotte, NC USA</Company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SP-4 Borrow Excavation Final (04-30-13)</dc:title>
  <dc:creator>stolan</dc:creator>
  <cp:lastModifiedBy>mgustis</cp:lastModifiedBy>
  <cp:revision>2</cp:revision>
  <dcterms:created xsi:type="dcterms:W3CDTF">2016-03-21T16:46:00Z</dcterms:created>
  <dcterms:modified xsi:type="dcterms:W3CDTF">2016-03-21T16:46:00Z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0x01010012BE502D274A1F4B9F42157C14893527</vt:lpwstr>
  </property>
  <property fmtid="{D5CDD505-2E9C-101B-9397-08002B2CF9AE}" pid="3" name="TaxKeyword">
    <vt:lpwstr/>
  </property>
  <property fmtid="{D5CDD505-2E9C-101B-9397-08002B2CF9AE}" pid="4" name="Order">
    <vt:r8>900</vt:r8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SP category">
    <vt:lpwstr>General</vt:lpwstr>
  </property>
</Properties>
</file>